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rPr>
          <w:rFonts w:hint="eastAsia"/>
        </w:rPr>
      </w:pPr>
      <w:r>
        <w:rPr>
          <w:rFonts w:hint="eastAsia"/>
        </w:rPr>
      </w:r>
      <w:r/>
    </w:p>
    <w:p>
      <w:pPr>
        <w:pStyle w:val="1044"/>
        <w:jc w:val="center"/>
        <w:spacing w:line="720" w:lineRule="auto"/>
        <w:rPr>
          <w:rFonts w:hint="eastAsia" w:ascii="微软雅黑" w:hAnsi="微软雅黑" w:cs="微软雅黑"/>
          <w:sz w:val="52"/>
          <w:szCs w:val="52"/>
        </w:rPr>
      </w:pPr>
      <w:r>
        <w:rPr>
          <w:rFonts w:hint="eastAsia" w:ascii="微软雅黑" w:hAnsi="微软雅黑" w:cs="微软雅黑"/>
          <w:sz w:val="52"/>
          <w:szCs w:val="52"/>
        </w:rPr>
      </w:r>
      <w:r/>
    </w:p>
    <w:p>
      <w:pPr>
        <w:pStyle w:val="1070"/>
        <w:ind w:left="1260"/>
        <w:rPr>
          <w:rFonts w:hint="eastAsia"/>
        </w:rPr>
      </w:pPr>
      <w:r>
        <w:rPr>
          <w:rFonts w:hint="eastAsia"/>
        </w:rPr>
      </w:r>
      <w:r/>
    </w:p>
    <w:p>
      <w:pPr>
        <w:pStyle w:val="1044"/>
        <w:rPr>
          <w:rFonts w:hint="eastAsia"/>
        </w:rPr>
      </w:pPr>
      <w:r>
        <w:rPr>
          <w:rFonts w:hint="eastAsia"/>
        </w:rPr>
      </w:r>
      <w:r/>
    </w:p>
    <w:p>
      <w:pPr>
        <w:pStyle w:val="1070"/>
        <w:ind w:left="1260"/>
        <w:rPr>
          <w:rFonts w:hint="eastAsia"/>
        </w:rPr>
      </w:pPr>
      <w:r>
        <w:rPr>
          <w:rFonts w:hint="eastAsia"/>
        </w:rPr>
      </w:r>
      <w:r/>
    </w:p>
    <w:p>
      <w:pPr>
        <w:pStyle w:val="1044"/>
        <w:jc w:val="center"/>
        <w:spacing w:line="720" w:lineRule="auto"/>
        <w:rPr>
          <w:rFonts w:ascii="微软雅黑" w:hAnsi="微软雅黑" w:cs="微软雅黑"/>
          <w:b/>
          <w:bCs/>
          <w:sz w:val="84"/>
          <w:szCs w:val="84"/>
        </w:rPr>
      </w:pPr>
      <w:r/>
      <w:bookmarkStart w:id="0" w:name="_Toc19040"/>
      <w:r/>
      <w:bookmarkStart w:id="1" w:name="_Toc452384169"/>
      <w:r/>
      <w:bookmarkStart w:id="2" w:name="_ 第一章 公开招标公告"/>
      <w:r>
        <w:rPr>
          <w:rFonts w:hint="eastAsia" w:ascii="微软雅黑" w:hAnsi="微软雅黑" w:cs="微软雅黑"/>
          <w:sz w:val="84"/>
          <w:szCs w:val="84"/>
        </w:rPr>
        <w:t xml:space="preserve">采 购 文 件</w:t>
      </w:r>
      <w:r>
        <w:rPr>
          <w:rFonts w:ascii="微软雅黑" w:hAnsi="微软雅黑" w:cs="微软雅黑"/>
          <w:b/>
          <w:bCs/>
          <w:sz w:val="84"/>
          <w:szCs w:val="84"/>
        </w:rPr>
      </w:r>
      <w:r/>
    </w:p>
    <w:p>
      <w:pPr>
        <w:pStyle w:val="1044"/>
        <w:jc w:val="center"/>
        <w:rPr>
          <w:rFonts w:ascii="微软雅黑" w:hAnsi="微软雅黑" w:cs="微软雅黑"/>
          <w:sz w:val="52"/>
          <w:szCs w:val="52"/>
        </w:rPr>
      </w:pPr>
      <w:r>
        <w:rPr>
          <w:rFonts w:hint="eastAsia" w:ascii="微软雅黑" w:hAnsi="微软雅黑" w:cs="微软雅黑"/>
          <w:sz w:val="52"/>
          <w:szCs w:val="52"/>
        </w:rPr>
        <w:t xml:space="preserve">（公开招标）</w:t>
      </w:r>
      <w:r>
        <w:rPr>
          <w:rFonts w:ascii="微软雅黑" w:hAnsi="微软雅黑" w:cs="微软雅黑"/>
          <w:sz w:val="52"/>
          <w:szCs w:val="52"/>
        </w:rPr>
      </w:r>
      <w:r/>
    </w:p>
    <w:p>
      <w:pPr>
        <w:pStyle w:val="1044"/>
        <w:rPr>
          <w:rStyle w:val="1124"/>
          <w:rFonts w:ascii="微软雅黑" w:hAnsi="微软雅黑" w:cs="微软雅黑"/>
          <w:color w:val="000000"/>
        </w:rPr>
      </w:pPr>
      <w:r>
        <w:rPr>
          <w:rStyle w:val="1124"/>
          <w:rFonts w:ascii="微软雅黑" w:hAnsi="微软雅黑" w:cs="微软雅黑"/>
          <w:color w:val="000000"/>
        </w:rPr>
      </w:r>
      <w:r/>
    </w:p>
    <w:p>
      <w:pPr>
        <w:pStyle w:val="1044"/>
        <w:jc w:val="left"/>
        <w:rPr>
          <w:rFonts w:ascii="微软雅黑" w:hAnsi="微软雅黑" w:cs="微软雅黑"/>
          <w:sz w:val="36"/>
        </w:rPr>
      </w:pPr>
      <w:r>
        <w:rPr>
          <w:rFonts w:hint="eastAsia" w:ascii="微软雅黑" w:hAnsi="微软雅黑" w:cs="微软雅黑"/>
          <w:sz w:val="36"/>
        </w:rPr>
        <w:t xml:space="preserve">           </w:t>
      </w:r>
      <w:r>
        <w:rPr>
          <w:rFonts w:ascii="微软雅黑" w:hAnsi="微软雅黑" w:cs="微软雅黑"/>
          <w:sz w:val="36"/>
        </w:rPr>
      </w:r>
      <w:r/>
    </w:p>
    <w:p>
      <w:pPr>
        <w:pStyle w:val="1070"/>
        <w:ind w:left="1260"/>
      </w:pPr>
      <w:r/>
      <w:r/>
    </w:p>
    <w:p>
      <w:pPr>
        <w:pStyle w:val="1044"/>
        <w:jc w:val="left"/>
        <w:rPr>
          <w:rFonts w:ascii="微软雅黑" w:hAnsi="微软雅黑" w:cs="微软雅黑"/>
          <w:sz w:val="36"/>
        </w:rPr>
      </w:pPr>
      <w:r>
        <w:rPr>
          <w:rFonts w:ascii="微软雅黑" w:hAnsi="微软雅黑" w:cs="微软雅黑"/>
          <w:sz w:val="36"/>
        </w:rPr>
      </w:r>
      <w:r/>
    </w:p>
    <w:p>
      <w:pPr>
        <w:pStyle w:val="1070"/>
        <w:ind w:left="1260"/>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微软雅黑" w:hAnsi="微软雅黑" w:cs="微软雅黑"/>
          <w:sz w:val="30"/>
          <w:szCs w:val="30"/>
        </w:rPr>
        <w:t xml:space="preserve">项目编号：</w:t>
      </w:r>
      <w:r>
        <w:rPr>
          <w:rFonts w:hint="eastAsia" w:ascii="微软雅黑" w:hAnsi="微软雅黑" w:eastAsia="微软雅黑" w:cs="微软雅黑"/>
          <w:sz w:val="30"/>
          <w:szCs w:val="30"/>
          <w:lang w:val="en-US" w:eastAsia="zh-CN"/>
        </w:rPr>
      </w:r>
      <w:r>
        <w:rPr>
          <w:rFonts w:ascii="Microsoft YaHei" w:hAnsi="Microsoft YaHei" w:eastAsia="Microsoft YaHei" w:cs="Microsoft YaHei"/>
          <w:color w:val="000000"/>
          <w:sz w:val="21"/>
        </w:rPr>
        <w:t xml:space="preserve">JSZC-320000-JSHC-G2026-0008/JSHC-2026020076A2</w:t>
      </w:r>
      <w:r/>
    </w:p>
    <w:p>
      <w:pPr>
        <w:ind w:firstLine="900"/>
        <w:spacing w:line="360" w:lineRule="auto"/>
        <w:rPr>
          <w:rFonts w:hint="eastAsia" w:ascii="微软雅黑" w:hAnsi="微软雅黑" w:eastAsia="微软雅黑" w:cs="微软雅黑"/>
          <w:sz w:val="30"/>
          <w:szCs w:val="30"/>
          <w:lang w:val="en-US" w:eastAsia="zh-CN"/>
        </w:rPr>
      </w:pPr>
      <w:r>
        <w:rPr>
          <w:rFonts w:hint="eastAsia" w:ascii="微软雅黑" w:hAnsi="微软雅黑" w:cs="微软雅黑"/>
          <w:sz w:val="30"/>
          <w:szCs w:val="30"/>
        </w:rPr>
      </w:r>
      <w:r/>
      <w:r/>
    </w:p>
    <w:p>
      <w:pPr>
        <w:pStyle w:val="1044"/>
        <w:ind w:firstLine="9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项目名称：</w:t>
      </w:r>
      <w:r>
        <w:rPr>
          <w:rFonts w:hint="eastAsia" w:ascii="微软雅黑" w:hAnsi="微软雅黑" w:cs="微软雅黑"/>
          <w:sz w:val="30"/>
          <w:szCs w:val="30"/>
          <w:lang w:eastAsia="zh-CN"/>
        </w:rPr>
        <w:t xml:space="preserve">南京医科大学江宁校区二期电力增容工程(南苑08栋公寓配套)</w:t>
      </w:r>
      <w:r>
        <w:rPr>
          <w:rFonts w:hint="eastAsia" w:ascii="微软雅黑" w:hAnsi="微软雅黑" w:eastAsia="微软雅黑" w:cs="微软雅黑"/>
          <w:sz w:val="30"/>
          <w:szCs w:val="30"/>
          <w:lang w:eastAsia="zh-CN"/>
        </w:rPr>
      </w:r>
      <w:r/>
    </w:p>
    <w:p>
      <w:pPr>
        <w:pStyle w:val="1044"/>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人：南京医科大学</w:t>
      </w:r>
      <w:r>
        <w:rPr>
          <w:rFonts w:ascii="微软雅黑" w:hAnsi="微软雅黑" w:cs="微软雅黑"/>
          <w:sz w:val="30"/>
          <w:szCs w:val="30"/>
        </w:rPr>
      </w:r>
      <w:r/>
    </w:p>
    <w:p>
      <w:pPr>
        <w:pStyle w:val="1044"/>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044"/>
        <w:ind w:left="2580" w:hanging="2580"/>
        <w:jc w:val="center"/>
        <w:rPr>
          <w:rFonts w:ascii="微软雅黑" w:hAnsi="微软雅黑" w:cs="微软雅黑"/>
          <w:sz w:val="30"/>
          <w:szCs w:val="30"/>
        </w:rPr>
      </w:pPr>
      <w:r>
        <w:rPr>
          <w:rFonts w:ascii="微软雅黑" w:hAnsi="微软雅黑" w:cs="微软雅黑"/>
          <w:sz w:val="30"/>
          <w:szCs w:val="30"/>
        </w:rPr>
      </w:r>
      <w:r/>
    </w:p>
    <w:p>
      <w:pPr>
        <w:pStyle w:val="1070"/>
        <w:ind w:left="1260"/>
      </w:pPr>
      <w:r/>
      <w:r/>
    </w:p>
    <w:p>
      <w:pPr>
        <w:pStyle w:val="1070"/>
        <w:ind w:left="0"/>
      </w:pPr>
      <w:r/>
      <w:r/>
    </w:p>
    <w:p>
      <w:pPr>
        <w:pStyle w:val="1044"/>
        <w:jc w:val="center"/>
        <w:rPr>
          <w:rFonts w:hint="eastAsia" w:ascii="微软雅黑" w:hAnsi="微软雅黑" w:cs="微软雅黑"/>
          <w:spacing w:val="30"/>
          <w:sz w:val="32"/>
          <w:szCs w:val="32"/>
        </w:rPr>
      </w:pPr>
      <w:r>
        <w:rPr>
          <w:rFonts w:hint="eastAsia" w:ascii="微软雅黑" w:hAnsi="微软雅黑" w:cs="微软雅黑"/>
          <w:spacing w:val="30"/>
          <w:sz w:val="32"/>
          <w:szCs w:val="32"/>
        </w:rPr>
      </w:r>
      <w:r/>
    </w:p>
    <w:p>
      <w:pPr>
        <w:pStyle w:val="1044"/>
        <w:jc w:val="center"/>
        <w:rPr>
          <w:rFonts w:hint="eastAsia" w:ascii="微软雅黑" w:hAnsi="微软雅黑" w:cs="微软雅黑"/>
          <w:spacing w:val="30"/>
          <w:sz w:val="32"/>
          <w:szCs w:val="32"/>
        </w:rPr>
      </w:pPr>
      <w:r>
        <w:rPr>
          <w:rFonts w:hint="eastAsia" w:ascii="微软雅黑" w:hAnsi="微软雅黑" w:cs="微软雅黑"/>
          <w:spacing w:val="30"/>
          <w:sz w:val="32"/>
          <w:szCs w:val="32"/>
        </w:rPr>
      </w:r>
      <w:r/>
    </w:p>
    <w:p>
      <w:pPr>
        <w:pStyle w:val="1044"/>
        <w:jc w:val="center"/>
        <w:rPr>
          <w:rFonts w:hint="eastAsia" w:ascii="微软雅黑" w:hAnsi="微软雅黑" w:cs="微软雅黑"/>
          <w:spacing w:val="30"/>
          <w:sz w:val="32"/>
          <w:szCs w:val="32"/>
        </w:rPr>
      </w:pPr>
      <w:r>
        <w:rPr>
          <w:rFonts w:hint="eastAsia" w:ascii="微软雅黑" w:hAnsi="微软雅黑" w:cs="微软雅黑"/>
          <w:spacing w:val="30"/>
          <w:sz w:val="32"/>
          <w:szCs w:val="32"/>
        </w:rPr>
      </w:r>
      <w:r/>
    </w:p>
    <w:p>
      <w:pPr>
        <w:pStyle w:val="1044"/>
        <w:jc w:val="center"/>
        <w:rPr>
          <w:rFonts w:ascii="微软雅黑" w:hAnsi="微软雅黑" w:cs="微软雅黑"/>
          <w:sz w:val="30"/>
          <w:szCs w:val="30"/>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highlight w:val="none"/>
        </w:rPr>
        <w:t xml:space="preserve">20</w:t>
      </w:r>
      <w:r>
        <w:rPr>
          <w:rFonts w:hint="eastAsia" w:ascii="微软雅黑" w:hAnsi="微软雅黑" w:cs="微软雅黑"/>
          <w:spacing w:val="30"/>
          <w:sz w:val="32"/>
          <w:szCs w:val="32"/>
          <w:highlight w:val="none"/>
          <w:lang w:val="en-US" w:eastAsia="zh-CN"/>
        </w:rPr>
        <w:t xml:space="preserve">26</w:t>
      </w:r>
      <w:r>
        <w:rPr>
          <w:rFonts w:hint="eastAsia" w:ascii="微软雅黑" w:hAnsi="微软雅黑" w:cs="微软雅黑"/>
          <w:spacing w:val="30"/>
          <w:sz w:val="32"/>
          <w:szCs w:val="32"/>
          <w:highlight w:val="none"/>
        </w:rPr>
        <w:t xml:space="preserve">年</w:t>
      </w:r>
      <w:r>
        <w:rPr>
          <w:rFonts w:hint="eastAsia" w:ascii="微软雅黑" w:hAnsi="微软雅黑" w:cs="微软雅黑"/>
          <w:spacing w:val="30"/>
          <w:sz w:val="32"/>
          <w:szCs w:val="32"/>
          <w:highlight w:val="none"/>
          <w:lang w:val="en-US" w:eastAsia="zh-CN"/>
        </w:rPr>
        <w:t xml:space="preserve">03</w:t>
      </w:r>
      <w:r>
        <w:rPr>
          <w:rFonts w:hint="eastAsia" w:ascii="微软雅黑" w:hAnsi="微软雅黑" w:cs="微软雅黑"/>
          <w:spacing w:val="30"/>
          <w:sz w:val="32"/>
          <w:szCs w:val="32"/>
          <w:highlight w:val="none"/>
        </w:rPr>
        <w:t xml:space="preserve">月</w:t>
      </w:r>
      <w:r>
        <w:rPr>
          <w:rFonts w:ascii="微软雅黑" w:hAnsi="微软雅黑" w:cs="微软雅黑"/>
          <w:sz w:val="30"/>
          <w:szCs w:val="30"/>
          <w:highlight w:val="none"/>
        </w:rPr>
      </w:r>
      <w:r/>
    </w:p>
    <w:p>
      <w:pPr>
        <w:pStyle w:val="1044"/>
        <w:jc w:val="center"/>
        <w:rPr>
          <w:rFonts w:hint="eastAsia" w:ascii="微软雅黑" w:hAnsi="微软雅黑" w:cs="微软雅黑"/>
          <w:b/>
          <w:bCs/>
          <w:sz w:val="30"/>
          <w:szCs w:val="30"/>
        </w:rPr>
      </w:pPr>
      <w:r>
        <w:rPr>
          <w:rFonts w:hint="eastAsia" w:ascii="微软雅黑" w:hAnsi="微软雅黑" w:cs="微软雅黑"/>
          <w:b/>
          <w:bCs/>
          <w:sz w:val="30"/>
          <w:szCs w:val="30"/>
        </w:rPr>
        <w:t xml:space="preserve">目  录</w:t>
      </w:r>
      <w:r>
        <w:rPr>
          <w:rFonts w:hint="eastAsia" w:ascii="微软雅黑" w:hAnsi="微软雅黑" w:cs="微软雅黑"/>
          <w:b/>
          <w:bCs/>
          <w:sz w:val="30"/>
          <w:szCs w:val="30"/>
        </w:rPr>
      </w:r>
      <w:r/>
    </w:p>
    <w:p>
      <w:pPr>
        <w:pStyle w:val="1087"/>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TOC \o "1-3" \h \u </w:instrText>
      </w:r>
      <w:r>
        <w:rPr>
          <w:rFonts w:hint="eastAsia" w:ascii="微软雅黑" w:hAnsi="微软雅黑" w:eastAsia="微软雅黑" w:cs="微软雅黑"/>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_Toc3122 </w:instrText>
      </w:r>
      <w:r>
        <w:rPr>
          <w:rFonts w:hint="eastAsia" w:ascii="微软雅黑" w:hAnsi="微软雅黑" w:eastAsia="微软雅黑" w:cs="微软雅黑"/>
        </w:rPr>
        <w:fldChar w:fldCharType="separate"/>
      </w:r>
      <w:r>
        <w:rPr>
          <w:rFonts w:hint="eastAsia" w:ascii="微软雅黑" w:hAnsi="微软雅黑" w:eastAsia="微软雅黑" w:cs="微软雅黑"/>
          <w:szCs w:val="32"/>
        </w:rPr>
        <w:t xml:space="preserve">第一章 投标邀请（采购公告）</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_Toc3122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87"/>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_Toc4940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第二章 供应商须知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_Toc4940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_Toc32426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一、总则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_Toc32426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_Toc24576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1.1 适用范围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_Toc24576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_Toc8540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1.2 合格的供应商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_Toc8540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_Toc32282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1.3 参加采购活动费用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_Toc32282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_Toc21149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1.4 法律适用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_Toc21149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_Toc27985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1.5 采购文件的约束力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_Toc27985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_Toc2859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二、采购文件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_Toc2859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_Toc939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2.1 采购文件的组成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_Toc939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_Toc4146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2.2 采购文件的更正或补充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_Toc4146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_Toc1012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三、投标文件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_Toc1012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_Toc10839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3.1 投标文件的语言及度量衡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_Toc10839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_Toc2339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3.2 投标文件的组成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_Toc2339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_Toc12816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3.3 投标报价</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_Toc12816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_Toc30151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3.4 投标报价中的货币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_Toc30151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12</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_Toc986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3.5 投标保证金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_Toc986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12</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_Toc20459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3.6 投标有效期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_Toc20459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_Toc17165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3.7 投标文件的签署、形式及装订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_Toc17165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_Toc29975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四、投标文件的递交</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_Toc29975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_Toc18524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4.1 投标文件的密封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_Toc18524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_Toc12116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4.2投标截止时间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_Toc12116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_Toc16707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4.3 迟交的投标文件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_Toc16707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_Toc15202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4.4 投标文件的修改和撤回</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_Toc15202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_Toc28655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五、投标文件启封及评审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_Toc28655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_Toc4477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5.1 投标文件启封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_Toc4477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_Toc14182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5.2 评标委员会</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_Toc14182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_Toc3425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5.3 对投标文件的资格性审查和符合性审查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_Toc3425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_Toc15868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5.4 投标文件的澄清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_Toc15868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_Toc14198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5.5 评标及中标</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_Toc14198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_Toc85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5.6 评标过程保密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_Toc16453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5.7 投标截止时间结束后参加供应商不足三家情况的处理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_Toc16453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17</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_Toc16765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5.8 废标（终止采购活动）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_Toc16765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_Toc2213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5.9 有下列情形之一的，视为投标供应商串通投标，其投标无效：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_Toc2213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_Toc26862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六、合同授予及签订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_Toc26862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_Toc9282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6.1 确定中标、成交供应商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_Toc9282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_Toc9581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6.2 质疑处理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_Toc9581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19</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_Toc29033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6.3 中标通知书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_Toc29033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20</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72"/>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_Toc9255 </w:instrText>
      </w:r>
      <w:r>
        <w:rPr>
          <w:rFonts w:hint="eastAsia" w:ascii="微软雅黑" w:hAnsi="微软雅黑" w:eastAsia="微软雅黑" w:cs="微软雅黑"/>
        </w:rPr>
        <w:fldChar w:fldCharType="separate"/>
      </w:r>
      <w:r>
        <w:rPr>
          <w:rFonts w:hint="eastAsia" w:ascii="微软雅黑" w:hAnsi="微软雅黑" w:eastAsia="微软雅黑" w:cs="微软雅黑"/>
          <w:szCs w:val="24"/>
        </w:rPr>
        <w:t xml:space="preserve">6.4 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_Toc9255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20</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87"/>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_Toc30794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第三章 评标办法和定标原则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_Toc30794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20</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87"/>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_Toc25981 </w:instrText>
      </w:r>
      <w:r>
        <w:rPr>
          <w:rFonts w:hint="eastAsia" w:ascii="微软雅黑" w:hAnsi="微软雅黑" w:eastAsia="微软雅黑" w:cs="微软雅黑"/>
        </w:rPr>
        <w:fldChar w:fldCharType="separate"/>
      </w:r>
      <w:r>
        <w:rPr>
          <w:rFonts w:hint="eastAsia" w:ascii="微软雅黑" w:hAnsi="微软雅黑" w:eastAsia="微软雅黑" w:cs="微软雅黑"/>
          <w:szCs w:val="32"/>
        </w:rPr>
        <w:t xml:space="preserve">第四章 项目采购需求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_Toc25981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25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87"/>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_Toc5374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第五章 格式合同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_Toc5374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96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_Toc17754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4"/>
        </w:rPr>
        <w:t xml:space="preserve">第一部分 合同协议书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_Toc17754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96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_Toc19227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1"/>
        </w:rPr>
        <w:t xml:space="preserve">第二部分  合同通用条款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_Toc19227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99</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_Toc15113 </w:instrText>
      </w:r>
      <w:r>
        <w:rPr>
          <w:rFonts w:hint="eastAsia" w:ascii="微软雅黑" w:hAnsi="微软雅黑" w:eastAsia="微软雅黑" w:cs="微软雅黑"/>
        </w:rPr>
        <w:fldChar w:fldCharType="separate"/>
      </w:r>
      <w:r>
        <w:rPr>
          <w:rFonts w:hint="eastAsia" w:ascii="微软雅黑" w:hAnsi="微软雅黑" w:eastAsia="微软雅黑" w:cs="微软雅黑"/>
          <w:bCs/>
          <w:szCs w:val="21"/>
        </w:rPr>
        <w:t xml:space="preserve">第三部分 合同专用条款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_Toc15113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99</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87"/>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_Toc8843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第六章 投标文件格式及附件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_Toc8843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123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_Toc26491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一、投标函、投标报价及项目相关文件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_Toc26491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128</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91"/>
        <w:spacing w:line="440" w:lineRule="exact"/>
        <w:tabs>
          <w:tab w:val="right" w:pos="8306" w:leader="dot"/>
        </w:tabs>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_Toc19002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二、相关附表格式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_Toc19002 \h </w:instrText>
      </w:r>
      <w:r>
        <w:rPr>
          <w:rFonts w:hint="eastAsia" w:ascii="微软雅黑" w:hAnsi="微软雅黑" w:eastAsia="微软雅黑" w:cs="微软雅黑"/>
        </w:rPr>
        <w:fldChar w:fldCharType="separate"/>
      </w:r>
      <w:r>
        <w:rPr>
          <w:rFonts w:hint="eastAsia" w:ascii="微软雅黑" w:hAnsi="微软雅黑" w:eastAsia="微软雅黑" w:cs="微软雅黑"/>
        </w:rPr>
        <w:t xml:space="preserve">142</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rPr>
          <w:rFonts w:hint="eastAsia" w:ascii="微软雅黑" w:hAnsi="微软雅黑" w:eastAsia="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fldChar w:fldCharType="end"/>
      </w:r>
      <w:r>
        <w:rPr>
          <w:rFonts w:hint="eastAsia" w:ascii="微软雅黑" w:hAnsi="微软雅黑" w:cs="微软雅黑"/>
        </w:rPr>
      </w:r>
      <w:r/>
    </w:p>
    <w:p>
      <w:pPr>
        <w:pStyle w:val="1045"/>
        <w:spacing w:line="360" w:lineRule="exact"/>
        <w:rPr>
          <w:rFonts w:hint="eastAsia" w:ascii="微软雅黑" w:hAnsi="微软雅黑" w:cs="微软雅黑"/>
          <w:bCs w:val="0"/>
          <w:szCs w:val="32"/>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3122"/>
      <w:r>
        <w:rPr>
          <w:rFonts w:hint="eastAsia" w:ascii="微软雅黑" w:hAnsi="微软雅黑" w:cs="微软雅黑"/>
          <w:bCs w:val="0"/>
          <w:szCs w:val="32"/>
        </w:rPr>
      </w:r>
      <w:r/>
    </w:p>
    <w:p>
      <w:pPr>
        <w:pStyle w:val="1045"/>
        <w:spacing w:line="360" w:lineRule="exact"/>
        <w:rPr>
          <w:rStyle w:val="1102"/>
          <w:rFonts w:hint="eastAsia" w:ascii="微软雅黑" w:hAnsi="微软雅黑" w:cs="微软雅黑"/>
          <w:bCs/>
          <w:sz w:val="32"/>
          <w:szCs w:val="32"/>
        </w:rPr>
      </w:pPr>
      <w:r>
        <w:rPr>
          <w:rFonts w:hint="eastAsia" w:ascii="微软雅黑" w:hAnsi="微软雅黑" w:cs="微软雅黑"/>
          <w:bCs w:val="0"/>
          <w:szCs w:val="32"/>
        </w:rPr>
        <w:t xml:space="preserve">第一章 投标邀请（采购公告</w:t>
      </w:r>
      <w:bookmarkEnd w:id="0"/>
      <w:r>
        <w:rPr>
          <w:rFonts w:hint="eastAsia" w:ascii="微软雅黑" w:hAnsi="微软雅黑" w:cs="微软雅黑"/>
          <w:bCs w:val="0"/>
          <w:szCs w:val="32"/>
        </w:rPr>
        <w:t xml:space="preserve">）</w:t>
      </w:r>
      <w:bookmarkEnd w:id="3"/>
      <w:r>
        <w:rPr>
          <w:rStyle w:val="1102"/>
          <w:rFonts w:hint="eastAsia" w:ascii="微软雅黑" w:hAnsi="微软雅黑" w:cs="微软雅黑"/>
          <w:bCs/>
          <w:sz w:val="32"/>
          <w:szCs w:val="32"/>
        </w:rPr>
      </w:r>
      <w:r/>
    </w:p>
    <w:p>
      <w:pPr>
        <w:pStyle w:val="1044"/>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bookmarkEnd w:id="2"/>
      <w:r>
        <w:rPr>
          <w:rFonts w:hint="eastAsia" w:ascii="微软雅黑" w:hAnsi="微软雅黑" w:cs="微软雅黑"/>
          <w:szCs w:val="21"/>
        </w:rPr>
        <w:t xml:space="preserve">项目概况</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lang w:eastAsia="zh-CN"/>
        </w:rPr>
        <w:t xml:space="preserve">南京医科大学江宁校区二期电力增容工程(南苑08栋公寓配套)</w:t>
      </w:r>
      <w:r>
        <w:rPr>
          <w:rFonts w:hint="eastAsia" w:ascii="微软雅黑" w:hAnsi="微软雅黑" w:cs="微软雅黑"/>
          <w:szCs w:val="21"/>
        </w:rPr>
        <w:t xml:space="preserve">的潜在投标供应商应在</w:t>
      </w:r>
      <w:r>
        <w:rPr>
          <w:rFonts w:hint="eastAsia" w:ascii="微软雅黑" w:hAnsi="微软雅黑" w:cs="微软雅黑"/>
          <w:szCs w:val="21"/>
          <w:lang w:bidi="ar"/>
        </w:rPr>
        <w:t xml:space="preserve">（线上）</w:t>
      </w:r>
      <w:r>
        <w:rPr>
          <w:rFonts w:hint="eastAsia" w:ascii="微软雅黑" w:hAnsi="微软雅黑" w:cs="微软雅黑"/>
          <w:szCs w:val="21"/>
        </w:rPr>
        <w:t xml:space="preserve">获取采购文件，并于</w:t>
      </w:r>
      <w:r>
        <w:rPr>
          <w:rFonts w:hint="eastAsia" w:ascii="微软雅黑" w:hAnsi="微软雅黑" w:cs="微软雅黑"/>
          <w:color w:val="000000"/>
          <w:szCs w:val="21"/>
        </w:rPr>
        <w:t xml:space="preserve">202</w:t>
      </w:r>
      <w:r>
        <w:rPr>
          <w:rFonts w:hint="eastAsia" w:ascii="微软雅黑" w:hAnsi="微软雅黑" w:cs="微软雅黑"/>
          <w:color w:val="000000"/>
          <w:szCs w:val="21"/>
          <w:lang w:val="en-US" w:eastAsia="zh-CN"/>
        </w:rPr>
        <w:t xml:space="preserve">6</w:t>
      </w:r>
      <w:r>
        <w:rPr>
          <w:rFonts w:hint="eastAsia" w:ascii="微软雅黑" w:hAnsi="微软雅黑" w:cs="微软雅黑"/>
          <w:bCs/>
          <w:color w:val="000000"/>
          <w:szCs w:val="21"/>
        </w:rPr>
        <w:t xml:space="preserve">年</w:t>
      </w:r>
      <w:r>
        <w:rPr>
          <w:rFonts w:hint="eastAsia" w:ascii="微软雅黑" w:hAnsi="微软雅黑" w:cs="微软雅黑"/>
          <w:bCs/>
          <w:color w:val="000000"/>
          <w:szCs w:val="21"/>
          <w:lang w:val="en-US" w:eastAsia="zh-CN"/>
        </w:rPr>
        <w:t xml:space="preserve">0</w:t>
      </w:r>
      <w:r>
        <w:rPr>
          <w:rFonts w:hint="eastAsia" w:ascii="微软雅黑" w:hAnsi="微软雅黑" w:cs="微软雅黑"/>
          <w:bCs/>
          <w:color w:val="000000"/>
          <w:szCs w:val="21"/>
          <w:lang w:val="en-US" w:eastAsia="zh-CN"/>
        </w:rPr>
        <w:t xml:space="preserve">4</w:t>
      </w:r>
      <w:r>
        <w:rPr>
          <w:rFonts w:hint="eastAsia" w:ascii="微软雅黑" w:hAnsi="微软雅黑" w:cs="微软雅黑"/>
          <w:bCs/>
          <w:color w:val="000000"/>
          <w:szCs w:val="21"/>
        </w:rPr>
        <w:t xml:space="preserve">月</w:t>
      </w:r>
      <w:r>
        <w:rPr>
          <w:rFonts w:hint="eastAsia" w:ascii="微软雅黑" w:hAnsi="微软雅黑" w:cs="微软雅黑"/>
          <w:bCs/>
          <w:color w:val="000000"/>
          <w:szCs w:val="21"/>
          <w:lang w:val="en-US" w:eastAsia="zh-CN"/>
        </w:rPr>
        <w:t xml:space="preserve">1</w:t>
      </w:r>
      <w:r>
        <w:rPr>
          <w:rFonts w:hint="eastAsia" w:ascii="微软雅黑" w:hAnsi="微软雅黑" w:cs="微软雅黑"/>
          <w:bCs/>
          <w:color w:val="000000"/>
          <w:szCs w:val="21"/>
          <w:lang w:val="en-US" w:eastAsia="zh-CN"/>
        </w:rPr>
        <w:t xml:space="preserve">5</w:t>
      </w:r>
      <w:r>
        <w:rPr>
          <w:rFonts w:hint="eastAsia" w:ascii="微软雅黑" w:hAnsi="微软雅黑" w:cs="微软雅黑"/>
          <w:bCs/>
          <w:color w:val="000000"/>
          <w:szCs w:val="21"/>
        </w:rPr>
        <w:t xml:space="preserve">日</w:t>
      </w:r>
      <w:r>
        <w:rPr>
          <w:rFonts w:hint="eastAsia" w:ascii="微软雅黑" w:hAnsi="微软雅黑" w:cs="微软雅黑"/>
          <w:bCs/>
          <w:color w:val="000000"/>
          <w:szCs w:val="21"/>
          <w:lang w:val="en-US" w:eastAsia="zh-CN"/>
        </w:rPr>
        <w:t xml:space="preserve">14</w:t>
      </w:r>
      <w:r>
        <w:rPr>
          <w:rFonts w:hint="eastAsia" w:ascii="微软雅黑" w:hAnsi="微软雅黑" w:cs="微软雅黑"/>
          <w:bCs/>
          <w:color w:val="000000"/>
          <w:szCs w:val="21"/>
        </w:rPr>
        <w:t xml:space="preserve">点</w:t>
      </w:r>
      <w:r>
        <w:rPr>
          <w:rFonts w:hint="eastAsia" w:ascii="微软雅黑" w:hAnsi="微软雅黑" w:cs="微软雅黑"/>
          <w:bCs/>
          <w:color w:val="000000"/>
          <w:szCs w:val="21"/>
          <w:lang w:val="en-US" w:eastAsia="zh-CN"/>
        </w:rPr>
        <w:t xml:space="preserve">00</w:t>
      </w:r>
      <w:r>
        <w:rPr>
          <w:rFonts w:hint="eastAsia" w:ascii="微软雅黑" w:hAnsi="微软雅黑" w:cs="微软雅黑"/>
          <w:bCs/>
          <w:color w:val="000000"/>
          <w:szCs w:val="21"/>
        </w:rPr>
        <w:t xml:space="preserve">分</w:t>
      </w:r>
      <w:r>
        <w:rPr>
          <w:rFonts w:hint="eastAsia" w:ascii="微软雅黑" w:hAnsi="微软雅黑" w:cs="微软雅黑"/>
          <w:bCs/>
          <w:color w:val="000000"/>
          <w:szCs w:val="21"/>
          <w:lang w:val="en-US" w:eastAsia="zh-CN"/>
        </w:rPr>
        <w:t xml:space="preserve">00秒</w:t>
      </w:r>
      <w:r>
        <w:rPr>
          <w:rFonts w:hint="eastAsia" w:ascii="微软雅黑" w:hAnsi="微软雅黑" w:cs="微软雅黑"/>
          <w:bCs/>
          <w:color w:val="000000"/>
          <w:szCs w:val="21"/>
        </w:rPr>
        <w:t xml:space="preserve">（北京</w:t>
      </w:r>
      <w:r>
        <w:rPr>
          <w:rFonts w:hint="eastAsia" w:ascii="微软雅黑" w:hAnsi="微软雅黑" w:cs="微软雅黑"/>
          <w:bCs/>
          <w:szCs w:val="21"/>
        </w:rPr>
        <w:t xml:space="preserve">时间）前递交投标文件</w:t>
      </w:r>
      <w:r>
        <w:rPr>
          <w:rFonts w:hint="eastAsia" w:ascii="微软雅黑" w:hAnsi="微软雅黑" w:cs="微软雅黑"/>
          <w:szCs w:val="21"/>
        </w:rPr>
        <w:t xml:space="preserve">。</w:t>
      </w:r>
      <w:r>
        <w:rPr>
          <w:rFonts w:hint="eastAsia" w:ascii="微软雅黑" w:hAnsi="微软雅黑" w:cs="微软雅黑"/>
          <w:szCs w:val="21"/>
        </w:rPr>
      </w:r>
      <w:r/>
    </w:p>
    <w:p>
      <w:pPr>
        <w:pStyle w:val="1044"/>
        <w:spacing w:line="440" w:lineRule="exact"/>
        <w:rPr>
          <w:rFonts w:hint="eastAsia" w:ascii="微软雅黑" w:hAnsi="微软雅黑" w:cs="微软雅黑"/>
          <w:b/>
          <w:bCs/>
        </w:rPr>
      </w:pPr>
      <w:r/>
      <w:bookmarkStart w:id="4" w:name="_Toc35393790"/>
      <w:r/>
      <w:bookmarkStart w:id="5" w:name="_Toc5452"/>
      <w:r/>
      <w:bookmarkStart w:id="6" w:name="_Toc28359002"/>
      <w:r/>
      <w:bookmarkStart w:id="7" w:name="_Toc28359079"/>
      <w:r/>
      <w:bookmarkStart w:id="8" w:name="_Toc35393621"/>
      <w:r/>
      <w:bookmarkStart w:id="9" w:name="_Hlk24379207"/>
      <w:r>
        <w:rPr>
          <w:rFonts w:hint="eastAsia" w:ascii="微软雅黑" w:hAnsi="微软雅黑" w:cs="微软雅黑"/>
          <w:b/>
          <w:bCs/>
        </w:rPr>
        <w:t xml:space="preserve">一、项目基本情况</w:t>
      </w:r>
      <w:bookmarkEnd w:id="4"/>
      <w:r/>
      <w:bookmarkEnd w:id="5"/>
      <w:r/>
      <w:bookmarkEnd w:id="6"/>
      <w:r/>
      <w:bookmarkEnd w:id="7"/>
      <w:r/>
      <w:bookmarkEnd w:id="8"/>
      <w:r>
        <w:rPr>
          <w:rFonts w:hint="eastAsia" w:ascii="微软雅黑" w:hAnsi="微软雅黑" w:cs="微软雅黑"/>
          <w:b/>
          <w:bCs/>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微软雅黑" w:hAnsi="微软雅黑" w:cs="微软雅黑"/>
          <w:szCs w:val="21"/>
        </w:rPr>
        <w:t xml:space="preserve">    项目编号：</w:t>
      </w:r>
      <w:r>
        <w:rPr>
          <w:rFonts w:hint="eastAsia" w:ascii="微软雅黑" w:hAnsi="微软雅黑" w:eastAsia="微软雅黑" w:cs="微软雅黑"/>
          <w:szCs w:val="21"/>
          <w:lang w:eastAsia="zh-CN"/>
        </w:rPr>
      </w:r>
      <w:r>
        <w:rPr>
          <w:rFonts w:ascii="Microsoft YaHei" w:hAnsi="Microsoft YaHei" w:eastAsia="Microsoft YaHei" w:cs="Microsoft YaHei"/>
          <w:color w:val="000000"/>
          <w:sz w:val="21"/>
        </w:rPr>
        <w:t xml:space="preserve">JSZC-320000-JSHC-G2026-0008/JSHC-2026020076A2</w:t>
      </w:r>
      <w:r/>
      <w:r>
        <w:rPr>
          <w:rFonts w:hint="eastAsia" w:ascii="微软雅黑" w:hAnsi="微软雅黑" w:cs="微软雅黑"/>
          <w:szCs w:val="21"/>
        </w:rPr>
      </w:r>
      <w:r/>
      <w:r/>
      <w:r>
        <w:rPr>
          <w:sz w:val="21"/>
        </w:rPr>
      </w:r>
    </w:p>
    <w:p>
      <w:pPr>
        <w:pStyle w:val="1044"/>
        <w:ind w:firstLine="420"/>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szCs w:val="21"/>
        </w:rPr>
        <w:t xml:space="preserve">项目名称</w:t>
      </w:r>
      <w:r>
        <w:rPr>
          <w:rFonts w:hint="eastAsia" w:ascii="微软雅黑" w:hAnsi="微软雅黑" w:cs="微软雅黑"/>
          <w:color w:val="000000"/>
          <w:szCs w:val="21"/>
        </w:rPr>
        <w:t xml:space="preserve">：</w:t>
      </w:r>
      <w:r>
        <w:rPr>
          <w:rFonts w:hint="eastAsia" w:ascii="微软雅黑" w:hAnsi="微软雅黑" w:cs="微软雅黑"/>
          <w:color w:val="000000"/>
          <w:szCs w:val="21"/>
          <w:lang w:eastAsia="zh-CN"/>
        </w:rPr>
        <w:t xml:space="preserve">南京医科大学江宁校区二期电力增容工程(南苑08栋公寓配套)</w:t>
      </w:r>
      <w:r>
        <w:rPr>
          <w:rFonts w:hint="eastAsia" w:ascii="微软雅黑" w:hAnsi="微软雅黑" w:eastAsia="微软雅黑" w:cs="微软雅黑"/>
          <w:color w:val="000000"/>
          <w:szCs w:val="21"/>
          <w:lang w:eastAsia="zh-CN"/>
        </w:rPr>
      </w:r>
      <w:r/>
    </w:p>
    <w:p>
      <w:pPr>
        <w:pStyle w:val="1103"/>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预算金额：人民币</w:t>
      </w:r>
      <w:r>
        <w:rPr>
          <w:rFonts w:hint="eastAsia" w:ascii="微软雅黑" w:hAnsi="微软雅黑" w:cs="微软雅黑"/>
          <w:color w:val="000000"/>
          <w:szCs w:val="21"/>
          <w:lang w:val="en-US" w:eastAsia="zh-CN"/>
        </w:rPr>
        <w:t xml:space="preserve">陆佰伍拾万</w:t>
      </w:r>
      <w:r>
        <w:rPr>
          <w:rFonts w:hint="eastAsia" w:ascii="微软雅黑" w:hAnsi="微软雅黑" w:cs="微软雅黑"/>
          <w:color w:val="000000"/>
          <w:szCs w:val="21"/>
        </w:rPr>
        <w:t xml:space="preserve">元整</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w:t>
      </w:r>
      <w:r>
        <w:rPr>
          <w:rFonts w:hint="eastAsia" w:ascii="微软雅黑" w:hAnsi="微软雅黑" w:cs="微软雅黑"/>
          <w:color w:val="000000"/>
          <w:szCs w:val="21"/>
          <w:lang w:val="en-US" w:eastAsia="zh-CN"/>
        </w:rPr>
        <w:t xml:space="preserve">6500000</w:t>
      </w:r>
      <w:r>
        <w:rPr>
          <w:rFonts w:hint="eastAsia" w:ascii="微软雅黑" w:hAnsi="微软雅黑" w:cs="微软雅黑"/>
          <w:color w:val="000000"/>
          <w:szCs w:val="21"/>
        </w:rPr>
        <w:t xml:space="preserve">元整）</w:t>
      </w:r>
      <w:r>
        <w:rPr>
          <w:rFonts w:hint="eastAsia" w:ascii="微软雅黑" w:hAnsi="微软雅黑" w:cs="微软雅黑"/>
          <w:color w:val="000000"/>
          <w:szCs w:val="21"/>
        </w:rPr>
      </w:r>
      <w:r/>
    </w:p>
    <w:p>
      <w:pPr>
        <w:pStyle w:val="1044"/>
        <w:ind w:firstLine="420"/>
        <w:spacing w:line="440" w:lineRule="exact"/>
        <w:rPr>
          <w:rFonts w:hint="eastAsia" w:ascii="微软雅黑" w:hAnsi="微软雅黑" w:cs="微软雅黑"/>
          <w:color w:val="000000"/>
          <w:szCs w:val="21"/>
        </w:rPr>
      </w:pPr>
      <w:r/>
      <w:bookmarkEnd w:id="9"/>
      <w:r>
        <w:rPr>
          <w:rFonts w:hint="eastAsia" w:ascii="微软雅黑" w:hAnsi="微软雅黑" w:cs="微软雅黑"/>
          <w:color w:val="000000"/>
          <w:szCs w:val="21"/>
        </w:rPr>
        <w:t xml:space="preserve">最高限价：人民币</w:t>
      </w:r>
      <w:r>
        <w:rPr>
          <w:rFonts w:hint="eastAsia" w:ascii="微软雅黑" w:hAnsi="微软雅黑" w:cs="微软雅黑"/>
          <w:color w:val="000000"/>
          <w:szCs w:val="21"/>
          <w:lang w:val="en-US" w:eastAsia="zh-CN"/>
        </w:rPr>
        <w:t xml:space="preserve">肆佰壹拾贰万</w:t>
      </w:r>
      <w:r>
        <w:rPr>
          <w:rFonts w:hint="eastAsia" w:ascii="微软雅黑" w:hAnsi="微软雅黑" w:cs="微软雅黑"/>
          <w:color w:val="000000"/>
          <w:szCs w:val="21"/>
        </w:rPr>
        <w:t xml:space="preserve">元整（￥</w:t>
      </w:r>
      <w:r>
        <w:rPr>
          <w:rFonts w:hint="eastAsia" w:ascii="微软雅黑" w:hAnsi="微软雅黑" w:cs="微软雅黑"/>
          <w:color w:val="000000"/>
          <w:szCs w:val="21"/>
          <w:lang w:val="en-US" w:eastAsia="zh-CN"/>
        </w:rPr>
        <w:t xml:space="preserve">4120000</w:t>
      </w:r>
      <w:r>
        <w:rPr>
          <w:rFonts w:hint="eastAsia" w:ascii="微软雅黑" w:hAnsi="微软雅黑" w:cs="微软雅黑"/>
          <w:color w:val="000000"/>
          <w:szCs w:val="21"/>
        </w:rPr>
        <w:t xml:space="preserve">元整）</w:t>
      </w:r>
      <w:r>
        <w:rPr>
          <w:rFonts w:hint="eastAsia" w:ascii="微软雅黑" w:hAnsi="微软雅黑" w:cs="微软雅黑"/>
          <w:color w:val="000000"/>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color w:val="000000"/>
          <w:szCs w:val="21"/>
        </w:rPr>
        <w:t xml:space="preserve">项目需求：</w:t>
      </w:r>
      <w:r>
        <w:rPr>
          <w:rFonts w:hint="eastAsia"/>
          <w:color w:val="000000"/>
        </w:rPr>
        <w:t xml:space="preserve">南京医科大学江宁校区二期电力增容工程(南苑08栋</w:t>
      </w:r>
      <w:r>
        <w:rPr>
          <w:rFonts w:hint="eastAsia"/>
        </w:rPr>
        <w:t xml:space="preserve">公寓配套)包括设备采购、配套施工及安装服务等。项目范围包括校内进线电缆</w:t>
      </w:r>
      <w:r>
        <w:rPr>
          <w:rFonts w:hint="eastAsia"/>
          <w:lang w:val="en-US" w:eastAsia="zh-CN"/>
        </w:rPr>
        <w:t xml:space="preserve">敷设</w:t>
      </w:r>
      <w:r>
        <w:rPr>
          <w:rFonts w:hint="eastAsia"/>
        </w:rPr>
        <w:t xml:space="preserve">，</w:t>
      </w:r>
      <w:r>
        <w:rPr>
          <w:rFonts w:hint="eastAsia"/>
          <w:lang w:val="en-US" w:eastAsia="zh-CN"/>
        </w:rPr>
        <w:t xml:space="preserve">体育馆变电所</w:t>
      </w:r>
      <w:r>
        <w:rPr>
          <w:rFonts w:hint="eastAsia"/>
        </w:rPr>
        <w:t xml:space="preserve">电气设备采购</w:t>
      </w:r>
      <w:r>
        <w:rPr>
          <w:rFonts w:hint="eastAsia"/>
          <w:lang w:val="en-US" w:eastAsia="zh-CN"/>
        </w:rPr>
        <w:t xml:space="preserve">安装</w:t>
      </w:r>
      <w:r>
        <w:rPr>
          <w:rFonts w:hint="eastAsia"/>
        </w:rPr>
        <w:t xml:space="preserve">及土建基础施工等。本项目新建变电所，主要包括10kV及0.4kV配电装置、主变压器、0.4kV无功补偿、所用交直流电系统、接地工程等一、二次部分</w:t>
      </w:r>
      <w:r>
        <w:rPr>
          <w:rFonts w:hint="eastAsia"/>
          <w:lang w:val="en-US" w:eastAsia="zh-CN"/>
        </w:rPr>
        <w:t xml:space="preserve">等</w:t>
      </w:r>
      <w:r>
        <w:rPr>
          <w:rFonts w:hint="eastAsia"/>
        </w:rPr>
        <w:t xml:space="preserve">。（具体内容详见采购文件和工程量清单、图纸）。</w:t>
      </w:r>
      <w:r>
        <w:rPr>
          <w:rFonts w:hint="eastAsia" w:ascii="微软雅黑" w:hAnsi="微软雅黑" w:cs="微软雅黑"/>
          <w:szCs w:val="21"/>
        </w:rPr>
      </w:r>
      <w:r/>
    </w:p>
    <w:p>
      <w:pPr>
        <w:pStyle w:val="1044"/>
        <w:ind w:firstLine="420"/>
        <w:spacing w:line="420" w:lineRule="exact"/>
        <w:rPr>
          <w:rFonts w:ascii="微软雅黑" w:hAnsi="微软雅黑" w:cs="微软雅黑"/>
          <w:szCs w:val="21"/>
        </w:rPr>
      </w:pPr>
      <w:r>
        <w:rPr>
          <w:rFonts w:hint="eastAsia" w:ascii="微软雅黑" w:hAnsi="微软雅黑" w:cs="微软雅黑"/>
          <w:szCs w:val="21"/>
        </w:rPr>
        <w:t xml:space="preserve">工期：合同签订后75个日历天（开工日期以招标人通知为准）。</w:t>
      </w:r>
      <w:r>
        <w:rPr>
          <w:rFonts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rPr>
          <w:rFonts w:hint="eastAsia" w:ascii="微软雅黑" w:hAnsi="微软雅黑" w:cs="微软雅黑"/>
          <w:szCs w:val="21"/>
        </w:rPr>
      </w:r>
      <w:r/>
    </w:p>
    <w:p>
      <w:pPr>
        <w:pStyle w:val="1044"/>
        <w:spacing w:line="440" w:lineRule="exact"/>
        <w:rPr>
          <w:rFonts w:hint="eastAsia" w:ascii="微软雅黑" w:hAnsi="微软雅黑" w:cs="微软雅黑"/>
          <w:b/>
          <w:bCs/>
        </w:rPr>
      </w:pPr>
      <w:r/>
      <w:bookmarkStart w:id="10" w:name="_Toc28359003"/>
      <w:r/>
      <w:bookmarkStart w:id="11" w:name="_Toc35393622"/>
      <w:r/>
      <w:bookmarkStart w:id="12" w:name="_Toc28359080"/>
      <w:r/>
      <w:bookmarkStart w:id="13" w:name="_Toc18689"/>
      <w:r/>
      <w:bookmarkStart w:id="14" w:name="_Toc35393791"/>
      <w:r>
        <w:rPr>
          <w:rFonts w:hint="eastAsia" w:ascii="微软雅黑" w:hAnsi="微软雅黑" w:cs="微软雅黑"/>
          <w:b/>
          <w:bCs/>
        </w:rPr>
        <w:t xml:space="preserve">二、申请人的资格要求：</w:t>
      </w:r>
      <w:bookmarkEnd w:id="10"/>
      <w:r/>
      <w:bookmarkEnd w:id="11"/>
      <w:r/>
      <w:bookmarkEnd w:id="12"/>
      <w:r/>
      <w:bookmarkEnd w:id="13"/>
      <w:r/>
      <w:bookmarkEnd w:id="14"/>
      <w:r>
        <w:rPr>
          <w:rFonts w:hint="eastAsia" w:ascii="微软雅黑" w:hAnsi="微软雅黑" w:cs="微软雅黑"/>
          <w:b/>
          <w:bCs/>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1044"/>
        <w:ind w:firstLine="420"/>
        <w:spacing w:line="420" w:lineRule="exact"/>
        <w:rPr>
          <w:rFonts w:hint="eastAsia" w:ascii="微软雅黑" w:hAnsi="微软雅黑" w:cs="微软雅黑"/>
          <w:color w:val="000000"/>
          <w:szCs w:val="21"/>
        </w:rPr>
      </w:pPr>
      <w:r>
        <w:rPr>
          <w:rFonts w:hint="eastAsia" w:ascii="微软雅黑" w:hAnsi="微软雅黑" w:cs="微软雅黑"/>
          <w:szCs w:val="21"/>
        </w:rPr>
        <w:t xml:space="preserve">1.1具有独立承担民事责任的能力（提供法人或者</w:t>
      </w:r>
      <w:r>
        <w:rPr>
          <w:rFonts w:hint="eastAsia" w:ascii="微软雅黑" w:hAnsi="微软雅黑" w:cs="微软雅黑"/>
          <w:color w:val="000000"/>
          <w:szCs w:val="21"/>
        </w:rPr>
        <w:t xml:space="preserve">其他组织的营业执照复印件）；</w:t>
      </w:r>
      <w:r>
        <w:rPr>
          <w:rFonts w:hint="eastAsia" w:ascii="微软雅黑" w:hAnsi="微软雅黑" w:cs="微软雅黑"/>
          <w:color w:val="000000"/>
          <w:szCs w:val="21"/>
        </w:rPr>
      </w:r>
      <w:r/>
    </w:p>
    <w:p>
      <w:pPr>
        <w:pStyle w:val="1044"/>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1.2具有良好的商业信誉和健全的财务会计制度（提供202</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03</w:t>
      </w:r>
      <w:r>
        <w:rPr>
          <w:rFonts w:hint="eastAsia" w:ascii="微软雅黑" w:hAnsi="微软雅黑" w:cs="微软雅黑"/>
          <w:color w:val="000000"/>
          <w:szCs w:val="21"/>
        </w:rPr>
        <w:t xml:space="preserve">月至投标截止时间前任一月份的资产负债表和利润表，</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2024</w:t>
      </w:r>
      <w:r>
        <w:rPr>
          <w:rFonts w:hint="eastAsia" w:ascii="微软雅黑" w:hAnsi="微软雅黑" w:cs="微软雅黑"/>
          <w:color w:val="000000"/>
          <w:szCs w:val="21"/>
          <w:lang w:val="en-US" w:eastAsia="zh-CN"/>
        </w:rPr>
        <w:t xml:space="preserve">/2025</w:t>
      </w:r>
      <w:r>
        <w:rPr>
          <w:rFonts w:hint="eastAsia" w:ascii="微软雅黑" w:hAnsi="微软雅黑" w:cs="微软雅黑"/>
          <w:color w:val="000000"/>
          <w:szCs w:val="21"/>
        </w:rPr>
        <w:t xml:space="preserve">年任意一年度审计报告，</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银行出具的针对本项目的资信证明，</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财政部门认可的专业担保机构出具的投标担保函）；（法人或者其他组织成立未满一年的可以不提供）</w:t>
      </w:r>
      <w:r>
        <w:rPr>
          <w:rFonts w:hint="eastAsia" w:ascii="微软雅黑" w:hAnsi="微软雅黑" w:cs="微软雅黑"/>
          <w:color w:val="000000"/>
          <w:szCs w:val="21"/>
        </w:rPr>
      </w:r>
      <w:r/>
    </w:p>
    <w:p>
      <w:pPr>
        <w:pStyle w:val="1044"/>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1.3具有履行合同所必需的设备和专业技术能力（根据项目需求提供履行合同所必需的设备和专业技术能力的承诺函）； </w:t>
      </w:r>
      <w:r>
        <w:rPr>
          <w:rFonts w:hint="eastAsia" w:ascii="微软雅黑" w:hAnsi="微软雅黑" w:cs="微软雅黑"/>
          <w:color w:val="000000"/>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color w:val="000000"/>
          <w:szCs w:val="21"/>
        </w:rPr>
        <w:t xml:space="preserve">1.4有依法缴纳税收</w:t>
      </w:r>
      <w:r>
        <w:rPr>
          <w:rFonts w:hint="eastAsia" w:ascii="微软雅黑" w:hAnsi="微软雅黑" w:cs="微软雅黑"/>
          <w:b/>
          <w:bCs/>
          <w:color w:val="000000"/>
          <w:szCs w:val="21"/>
        </w:rPr>
        <w:t xml:space="preserve">和</w:t>
      </w:r>
      <w:r>
        <w:rPr>
          <w:rFonts w:hint="eastAsia" w:ascii="微软雅黑" w:hAnsi="微软雅黑" w:cs="微软雅黑"/>
          <w:color w:val="000000"/>
          <w:szCs w:val="21"/>
        </w:rPr>
        <w:t xml:space="preserve">社会保障资金的良好记录（提供202</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03</w:t>
      </w:r>
      <w:r>
        <w:rPr>
          <w:rFonts w:hint="eastAsia" w:ascii="微软雅黑" w:hAnsi="微软雅黑" w:cs="微软雅黑"/>
          <w:color w:val="000000"/>
          <w:szCs w:val="21"/>
        </w:rPr>
        <w:t xml:space="preserve">月至投标截止时间前任一月份依法缴纳税收的凭据，以及缴纳社会保险的凭据（专用收据或社会保险</w:t>
      </w:r>
      <w:r>
        <w:rPr>
          <w:rFonts w:hint="eastAsia" w:ascii="微软雅黑" w:hAnsi="微软雅黑" w:cs="微软雅黑"/>
          <w:szCs w:val="21"/>
        </w:rPr>
        <w:t xml:space="preserve">的凭据）。依法免税或不需要缴纳社会保障资金的投标供应商，应提供相应文件证明）；</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044"/>
        <w:ind w:firstLine="420"/>
        <w:spacing w:line="420" w:lineRule="exact"/>
        <w:rPr>
          <w:rFonts w:hint="eastAsia" w:ascii="微软雅黑" w:hAnsi="微软雅黑" w:cs="微软雅黑"/>
        </w:rPr>
      </w:pPr>
      <w:r/>
      <w:bookmarkStart w:id="15" w:name="_Toc28359004"/>
      <w:r/>
      <w:bookmarkStart w:id="16" w:name="_Toc28359081"/>
      <w:r>
        <w:rPr>
          <w:rFonts w:hint="eastAsia" w:ascii="微软雅黑" w:hAnsi="微软雅黑" w:cs="微软雅黑"/>
        </w:rPr>
        <w:t xml:space="preserve">2.是否专门面向中小企业：否</w:t>
      </w:r>
      <w:r>
        <w:rPr>
          <w:rFonts w:hint="eastAsia" w:ascii="微软雅黑" w:hAnsi="微软雅黑" w:cs="微软雅黑"/>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w:t>
      </w:r>
      <w:r>
        <w:rPr>
          <w:rFonts w:hint="eastAsia" w:ascii="微软雅黑" w:hAnsi="微软雅黑" w:cs="微软雅黑"/>
          <w:szCs w:val="21"/>
        </w:rPr>
      </w:r>
      <w:r/>
    </w:p>
    <w:p>
      <w:pPr>
        <w:pStyle w:val="1044"/>
        <w:ind w:firstLine="420"/>
        <w:spacing w:line="420" w:lineRule="exact"/>
        <w:rPr>
          <w:rFonts w:ascii="微软雅黑" w:hAnsi="微软雅黑" w:cs="微软雅黑"/>
          <w:szCs w:val="21"/>
        </w:rPr>
      </w:pPr>
      <w:r>
        <w:rPr>
          <w:rFonts w:hint="eastAsia" w:ascii="微软雅黑" w:hAnsi="微软雅黑" w:cs="微软雅黑"/>
          <w:szCs w:val="21"/>
        </w:rPr>
        <w:t xml:space="preserve">4.1投标人具有电力工程施工总承包三级及以上资质（提供证书复印件)；</w:t>
      </w:r>
      <w:r>
        <w:rPr>
          <w:rFonts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4.2投标人具有有效期内的安全生产许可证；</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4.3投标人拟派出的项目负责人要求具备机电工程专业注册建造师贰级（含）以上资质，并取得安全生产考核合格证（B类）；</w:t>
      </w:r>
      <w:r>
        <w:rPr>
          <w:rFonts w:hint="eastAsia" w:ascii="微软雅黑" w:hAnsi="微软雅黑" w:cs="微软雅黑"/>
          <w:szCs w:val="21"/>
        </w:rPr>
      </w:r>
      <w:r/>
    </w:p>
    <w:p>
      <w:pPr>
        <w:pStyle w:val="1044"/>
        <w:ind w:firstLine="420"/>
        <w:spacing w:line="420" w:lineRule="exact"/>
        <w:rPr>
          <w:rFonts w:hint="eastAsia" w:ascii="微软雅黑" w:hAnsi="微软雅黑" w:cs="微软雅黑"/>
          <w:color w:val="000000"/>
          <w:szCs w:val="21"/>
        </w:rPr>
      </w:pPr>
      <w:r>
        <w:rPr>
          <w:rFonts w:hint="eastAsia" w:ascii="微软雅黑" w:hAnsi="微软雅黑" w:cs="微软雅黑"/>
          <w:szCs w:val="21"/>
        </w:rPr>
        <w:t xml:space="preserve">4.4需提供项目负责人社保机构出具近</w:t>
      </w:r>
      <w:r>
        <w:rPr>
          <w:rFonts w:hint="eastAsia" w:ascii="微软雅黑" w:hAnsi="微软雅黑" w:cs="微软雅黑"/>
          <w:color w:val="000000"/>
          <w:szCs w:val="21"/>
        </w:rPr>
        <w:t xml:space="preserve">6个月（202</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09</w:t>
      </w:r>
      <w:r>
        <w:rPr>
          <w:rFonts w:hint="eastAsia" w:ascii="微软雅黑" w:hAnsi="微软雅黑" w:cs="微软雅黑"/>
          <w:color w:val="000000"/>
          <w:szCs w:val="21"/>
        </w:rPr>
        <w:t xml:space="preserve">月至202</w:t>
      </w:r>
      <w:r>
        <w:rPr>
          <w:rFonts w:hint="eastAsia" w:ascii="微软雅黑" w:hAnsi="微软雅黑" w:cs="微软雅黑"/>
          <w:color w:val="000000"/>
          <w:szCs w:val="21"/>
          <w:lang w:val="en-US" w:eastAsia="zh-CN"/>
        </w:rPr>
        <w:t xml:space="preserve">6</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02</w:t>
      </w:r>
      <w:r>
        <w:rPr>
          <w:rFonts w:hint="eastAsia" w:ascii="微软雅黑" w:hAnsi="微软雅黑" w:cs="微软雅黑"/>
          <w:color w:val="000000"/>
          <w:szCs w:val="21"/>
        </w:rPr>
        <w:t xml:space="preserve">月）投标人为其缴纳的</w:t>
      </w:r>
      <w:r>
        <w:rPr>
          <w:rFonts w:hint="eastAsia" w:ascii="微软雅黑" w:hAnsi="微软雅黑" w:cs="微软雅黑"/>
          <w:color w:val="000000"/>
          <w:szCs w:val="21"/>
          <w:lang w:bidi="ar"/>
        </w:rPr>
        <w:t xml:space="preserve">社保证明材料</w:t>
      </w:r>
      <w:r>
        <w:rPr>
          <w:rFonts w:hint="eastAsia" w:ascii="微软雅黑" w:hAnsi="微软雅黑" w:cs="微软雅黑"/>
          <w:color w:val="000000"/>
          <w:szCs w:val="21"/>
        </w:rPr>
        <w:t xml:space="preserve">（并加盖社保中心章或社保中心参保缴费证明电子专用章）；</w:t>
      </w:r>
      <w:r>
        <w:rPr>
          <w:rFonts w:hint="eastAsia" w:ascii="微软雅黑" w:hAnsi="微软雅黑" w:cs="微软雅黑"/>
          <w:color w:val="000000"/>
          <w:szCs w:val="21"/>
        </w:rPr>
      </w:r>
      <w:r/>
    </w:p>
    <w:p>
      <w:pPr>
        <w:pStyle w:val="1044"/>
        <w:ind w:firstLine="420"/>
        <w:spacing w:line="400" w:lineRule="exact"/>
        <w:rPr>
          <w:rFonts w:hint="eastAsia"/>
        </w:rPr>
      </w:pPr>
      <w:r>
        <w:rPr>
          <w:rFonts w:hint="eastAsia" w:ascii="微软雅黑" w:hAnsi="微软雅黑" w:cs="微软雅黑"/>
          <w:szCs w:val="21"/>
        </w:rPr>
        <w:t xml:space="preserve">4.5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提供承诺并加盖公章）。</w:t>
      </w:r>
      <w:r>
        <w:rPr>
          <w:rFonts w:hint="eastAsia"/>
        </w:rPr>
      </w:r>
      <w:r/>
    </w:p>
    <w:p>
      <w:pPr>
        <w:pStyle w:val="1044"/>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.拒绝下述供应商参加本次采购活动:</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.1为采购项目提供规范编制或者项目管理、监理、检测等服务的；</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.2供应商单位负责人为同一人或者存在直接控股、管理关系的不同供应商，不得参加同一合同项下的采购活动；</w:t>
      </w:r>
      <w:r>
        <w:rPr>
          <w:rFonts w:hint="eastAsia" w:ascii="微软雅黑" w:hAnsi="微软雅黑" w:cs="微软雅黑"/>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.3被“信用中国”网站(www.creditchina.gov.cn)或中国政府采购网(www.ccgp.gov.cn)列入失信被执行人、重大税收违法案件当事人、政府采购严重违法失信行为记录名单的。</w:t>
      </w:r>
      <w:r>
        <w:rPr>
          <w:rFonts w:hint="eastAsia" w:ascii="微软雅黑" w:hAnsi="微软雅黑" w:cs="微软雅黑"/>
          <w:szCs w:val="21"/>
        </w:rPr>
      </w:r>
      <w:r/>
    </w:p>
    <w:p>
      <w:pPr>
        <w:pStyle w:val="1044"/>
        <w:spacing w:line="440" w:lineRule="exact"/>
        <w:rPr>
          <w:rFonts w:hint="eastAsia" w:ascii="微软雅黑" w:hAnsi="微软雅黑" w:cs="微软雅黑"/>
          <w:b/>
          <w:bCs/>
        </w:rPr>
      </w:pPr>
      <w:r/>
      <w:bookmarkStart w:id="17" w:name="_Toc35393792"/>
      <w:r/>
      <w:bookmarkStart w:id="18" w:name="_Toc35393623"/>
      <w:r/>
      <w:bookmarkStart w:id="19" w:name="_Toc15914"/>
      <w:r>
        <w:rPr>
          <w:rFonts w:hint="eastAsia" w:ascii="微软雅黑" w:hAnsi="微软雅黑" w:cs="微软雅黑"/>
          <w:b/>
          <w:bCs/>
        </w:rPr>
        <w:t xml:space="preserve">三、获取采购文件</w:t>
      </w:r>
      <w:bookmarkEnd w:id="15"/>
      <w:r/>
      <w:bookmarkEnd w:id="16"/>
      <w:r/>
      <w:bookmarkEnd w:id="17"/>
      <w:r/>
      <w:bookmarkEnd w:id="18"/>
      <w:r/>
      <w:bookmarkEnd w:id="19"/>
      <w:r>
        <w:rPr>
          <w:rFonts w:hint="eastAsia" w:ascii="微软雅黑" w:hAnsi="微软雅黑" w:cs="微软雅黑"/>
          <w:b/>
          <w:bCs/>
        </w:rPr>
      </w:r>
      <w:r/>
    </w:p>
    <w:p>
      <w:pPr>
        <w:pStyle w:val="1044"/>
        <w:ind w:firstLine="540"/>
        <w:spacing w:line="420" w:lineRule="exact"/>
        <w:rPr>
          <w:rFonts w:hint="eastAsia" w:ascii="微软雅黑" w:hAnsi="微软雅黑" w:cs="微软雅黑"/>
          <w:szCs w:val="21"/>
        </w:rPr>
      </w:pPr>
      <w:r/>
      <w:bookmarkStart w:id="20" w:name="_Toc28359082"/>
      <w:r/>
      <w:bookmarkStart w:id="21" w:name="_Toc35393793"/>
      <w:r/>
      <w:bookmarkStart w:id="22" w:name="_Toc28359005"/>
      <w:r/>
      <w:bookmarkStart w:id="23" w:name="_Toc35393624"/>
      <w:r>
        <w:rPr>
          <w:rFonts w:hint="eastAsia" w:ascii="微软雅黑" w:hAnsi="微软雅黑" w:cs="微软雅黑"/>
          <w:szCs w:val="21"/>
        </w:rPr>
        <w:t xml:space="preserve">时间： </w:t>
      </w:r>
      <w:r>
        <w:rPr>
          <w:rFonts w:hint="eastAsia" w:ascii="微软雅黑" w:hAnsi="微软雅黑" w:cs="微软雅黑"/>
          <w:szCs w:val="21"/>
          <w:u w:val="single"/>
        </w:rPr>
        <w:t xml:space="preserve">自招标文件公告发布之日</w:t>
      </w:r>
      <w:r>
        <w:rPr>
          <w:rFonts w:hint="eastAsia" w:ascii="微软雅黑" w:hAnsi="微软雅黑" w:cs="微软雅黑"/>
          <w:color w:val="000000"/>
          <w:szCs w:val="21"/>
        </w:rPr>
        <w:t xml:space="preserve">起至</w:t>
      </w:r>
      <w:r>
        <w:rPr>
          <w:rFonts w:hint="eastAsia" w:ascii="微软雅黑" w:hAnsi="微软雅黑" w:cs="微软雅黑"/>
          <w:color w:val="000000"/>
          <w:szCs w:val="21"/>
          <w:u w:val="single"/>
        </w:rPr>
        <w:t xml:space="preserve"> 202</w:t>
      </w:r>
      <w:r>
        <w:rPr>
          <w:rFonts w:hint="eastAsia" w:ascii="微软雅黑" w:hAnsi="微软雅黑" w:cs="微软雅黑"/>
          <w:color w:val="000000"/>
          <w:szCs w:val="21"/>
          <w:u w:val="single"/>
          <w:lang w:val="en-US" w:eastAsia="zh-CN"/>
        </w:rPr>
        <w:t xml:space="preserve">6</w:t>
      </w:r>
      <w:r>
        <w:rPr>
          <w:rFonts w:hint="eastAsia" w:ascii="微软雅黑" w:hAnsi="微软雅黑" w:cs="微软雅黑"/>
          <w:color w:val="000000"/>
          <w:szCs w:val="21"/>
          <w:u w:val="single"/>
        </w:rPr>
        <w:t xml:space="preserve">年</w:t>
      </w:r>
      <w:r>
        <w:rPr>
          <w:rFonts w:hint="eastAsia" w:ascii="微软雅黑" w:hAnsi="微软雅黑" w:cs="微软雅黑"/>
          <w:color w:val="000000"/>
          <w:szCs w:val="21"/>
          <w:u w:val="single"/>
          <w:lang w:val="en-US" w:eastAsia="zh-CN"/>
        </w:rPr>
        <w:t xml:space="preserve">04</w:t>
      </w:r>
      <w:r>
        <w:rPr>
          <w:rFonts w:hint="eastAsia" w:ascii="微软雅黑" w:hAnsi="微软雅黑" w:cs="微软雅黑"/>
          <w:color w:val="000000"/>
          <w:szCs w:val="21"/>
          <w:u w:val="single"/>
        </w:rPr>
        <w:t xml:space="preserve">月</w:t>
      </w:r>
      <w:r>
        <w:rPr>
          <w:rFonts w:hint="eastAsia" w:ascii="微软雅黑" w:hAnsi="微软雅黑" w:cs="微软雅黑"/>
          <w:color w:val="000000"/>
          <w:szCs w:val="21"/>
          <w:u w:val="single"/>
          <w:lang w:val="en-US" w:eastAsia="zh-CN"/>
        </w:rPr>
        <w:t xml:space="preserve">01</w:t>
      </w:r>
      <w:r>
        <w:rPr>
          <w:rFonts w:hint="eastAsia" w:ascii="微软雅黑" w:hAnsi="微软雅黑" w:cs="微软雅黑"/>
          <w:color w:val="000000"/>
          <w:szCs w:val="21"/>
          <w:u w:val="single"/>
        </w:rPr>
        <w:t xml:space="preserve">日</w:t>
      </w:r>
      <w:r>
        <w:rPr>
          <w:rFonts w:hint="eastAsia" w:ascii="微软雅黑" w:hAnsi="微软雅黑" w:cs="微软雅黑"/>
          <w:color w:val="000000"/>
          <w:szCs w:val="21"/>
        </w:rPr>
        <w:t xml:space="preserve">，每</w:t>
      </w:r>
      <w:r>
        <w:rPr>
          <w:rFonts w:hint="eastAsia" w:ascii="微软雅黑" w:hAnsi="微软雅黑" w:cs="微软雅黑"/>
          <w:szCs w:val="21"/>
        </w:rPr>
        <w:t xml:space="preserve">天上午</w:t>
      </w:r>
      <w:r>
        <w:rPr>
          <w:rFonts w:hint="eastAsia" w:ascii="微软雅黑" w:hAnsi="微软雅黑" w:cs="微软雅黑"/>
          <w:szCs w:val="21"/>
          <w:u w:val="single"/>
        </w:rPr>
        <w:t xml:space="preserve">09:00</w:t>
      </w:r>
      <w:r>
        <w:rPr>
          <w:rFonts w:hint="eastAsia" w:ascii="微软雅黑" w:hAnsi="微软雅黑" w:cs="微软雅黑"/>
          <w:szCs w:val="21"/>
        </w:rPr>
        <w:t xml:space="preserve">至</w:t>
      </w:r>
      <w:r>
        <w:rPr>
          <w:rFonts w:hint="eastAsia" w:ascii="微软雅黑" w:hAnsi="微软雅黑" w:cs="微软雅黑"/>
          <w:szCs w:val="21"/>
          <w:u w:val="single"/>
        </w:rPr>
        <w:t xml:space="preserve">11:30</w:t>
      </w:r>
      <w:r>
        <w:rPr>
          <w:rFonts w:hint="eastAsia" w:ascii="微软雅黑" w:hAnsi="微软雅黑" w:cs="微软雅黑"/>
          <w:szCs w:val="21"/>
        </w:rPr>
        <w:t xml:space="preserve">，下午</w:t>
      </w:r>
      <w:r>
        <w:rPr>
          <w:rFonts w:hint="eastAsia" w:ascii="微软雅黑" w:hAnsi="微软雅黑" w:cs="微软雅黑"/>
          <w:szCs w:val="21"/>
          <w:u w:val="single"/>
        </w:rPr>
        <w:t xml:space="preserve">13:30</w:t>
      </w:r>
      <w:r>
        <w:rPr>
          <w:rFonts w:hint="eastAsia" w:ascii="微软雅黑" w:hAnsi="微软雅黑" w:cs="微软雅黑"/>
          <w:szCs w:val="21"/>
        </w:rPr>
        <w:t xml:space="preserve">至</w:t>
      </w:r>
      <w:r>
        <w:rPr>
          <w:rFonts w:hint="eastAsia" w:ascii="微软雅黑" w:hAnsi="微软雅黑" w:cs="微软雅黑"/>
          <w:szCs w:val="21"/>
          <w:u w:val="single"/>
        </w:rPr>
        <w:t xml:space="preserve">17:00</w:t>
      </w:r>
      <w:r>
        <w:rPr>
          <w:rFonts w:hint="eastAsia" w:ascii="微软雅黑" w:hAnsi="微软雅黑" w:cs="微软雅黑"/>
          <w:szCs w:val="21"/>
        </w:rPr>
        <w:t xml:space="preserve">（北京时间，法定节假日除外）</w:t>
      </w:r>
      <w:r>
        <w:rPr>
          <w:rFonts w:hint="eastAsia" w:ascii="微软雅黑" w:hAnsi="微软雅黑" w:cs="微软雅黑"/>
          <w:szCs w:val="21"/>
        </w:rPr>
      </w:r>
      <w:r/>
    </w:p>
    <w:p>
      <w:pPr>
        <w:pStyle w:val="1044"/>
        <w:ind w:firstLine="540"/>
        <w:spacing w:line="420" w:lineRule="exact"/>
        <w:rPr>
          <w:rFonts w:hint="eastAsia" w:ascii="微软雅黑" w:hAnsi="微软雅黑" w:cs="微软雅黑"/>
          <w:szCs w:val="21"/>
        </w:rPr>
      </w:pPr>
      <w:r>
        <w:rPr>
          <w:rFonts w:hint="eastAsia" w:ascii="微软雅黑" w:hAnsi="微软雅黑" w:cs="微软雅黑"/>
          <w:szCs w:val="21"/>
        </w:rPr>
        <w:t xml:space="preserve">方式：本项目接受通过邮箱获取采购文件。</w:t>
      </w:r>
      <w:r>
        <w:rPr>
          <w:rFonts w:hint="eastAsia" w:ascii="微软雅黑" w:hAnsi="微软雅黑" w:cs="微软雅黑"/>
          <w:szCs w:val="21"/>
        </w:rPr>
      </w:r>
      <w:r/>
    </w:p>
    <w:p>
      <w:pPr>
        <w:pStyle w:val="1044"/>
        <w:ind w:firstLine="540"/>
        <w:spacing w:line="420" w:lineRule="exact"/>
        <w:rPr>
          <w:rFonts w:hint="eastAsia" w:ascii="微软雅黑" w:hAnsi="微软雅黑" w:cs="微软雅黑"/>
          <w:szCs w:val="21"/>
        </w:rPr>
      </w:pPr>
      <w:r>
        <w:rPr>
          <w:rFonts w:hint="eastAsia" w:ascii="微软雅黑" w:hAnsi="微软雅黑" w:cs="微软雅黑"/>
          <w:szCs w:val="21"/>
        </w:rPr>
        <w:t xml:space="preserve">采购文件售价：¥500（采购文件售后一概不退）</w:t>
      </w:r>
      <w:r>
        <w:rPr>
          <w:rFonts w:hint="eastAsia" w:ascii="微软雅黑" w:hAnsi="微软雅黑" w:cs="微软雅黑"/>
          <w:szCs w:val="21"/>
        </w:rPr>
      </w:r>
      <w:r/>
    </w:p>
    <w:p>
      <w:pPr>
        <w:pStyle w:val="1044"/>
        <w:ind w:firstLine="540"/>
        <w:spacing w:line="420" w:lineRule="exact"/>
        <w:rPr>
          <w:rFonts w:hint="eastAsia" w:ascii="微软雅黑" w:hAnsi="微软雅黑" w:cs="微软雅黑"/>
          <w:b/>
          <w:bCs/>
          <w:szCs w:val="21"/>
        </w:rPr>
      </w:pPr>
      <w:r>
        <w:rPr>
          <w:rFonts w:hint="eastAsia" w:ascii="微软雅黑" w:hAnsi="微软雅黑" w:cs="微软雅黑"/>
          <w:szCs w:val="21"/>
        </w:rPr>
        <w:t xml:space="preserve">获取采购文件须提供的资料：加盖公章的授权委托书原件或扫描件、加盖公章的被委托人身份证复印件或扫描件，及汇款凭据的截图（付款码见公告附件）</w:t>
      </w:r>
      <w:r>
        <w:rPr>
          <w:rFonts w:hint="eastAsia" w:ascii="微软雅黑" w:hAnsi="微软雅黑" w:cs="微软雅黑"/>
          <w:b/>
          <w:bCs/>
        </w:rPr>
        <w:t xml:space="preserve">（转账时请务必备注公司名称+</w:t>
      </w:r>
      <w:r>
        <w:rPr>
          <w:rFonts w:hint="eastAsia" w:ascii="微软雅黑" w:hAnsi="微软雅黑" w:cs="微软雅黑"/>
          <w:b/>
          <w:bCs/>
          <w:lang w:val="en-US" w:eastAsia="zh-CN"/>
        </w:rPr>
        <w:t xml:space="preserve">0</w:t>
      </w:r>
      <w:r>
        <w:rPr>
          <w:rFonts w:hint="eastAsia" w:ascii="微软雅黑" w:hAnsi="微软雅黑" w:cs="微软雅黑"/>
          <w:b/>
          <w:bCs/>
          <w:lang w:eastAsia="zh-CN"/>
        </w:rPr>
        <w:t xml:space="preserve">76A2</w:t>
      </w:r>
      <w:r>
        <w:rPr>
          <w:rFonts w:hint="eastAsia" w:ascii="微软雅黑" w:hAnsi="微软雅黑" w:cs="微软雅黑"/>
          <w:b/>
          <w:bCs/>
        </w:rPr>
        <w:t xml:space="preserve">）</w:t>
      </w:r>
      <w:r>
        <w:rPr>
          <w:rFonts w:hint="eastAsia" w:ascii="微软雅黑" w:hAnsi="微软雅黑" w:cs="微软雅黑"/>
          <w:b/>
          <w:bCs/>
          <w:szCs w:val="21"/>
        </w:rPr>
        <w:t xml:space="preserve">。</w:t>
      </w:r>
      <w:r>
        <w:rPr>
          <w:rFonts w:hint="eastAsia" w:ascii="微软雅黑" w:hAnsi="微软雅黑" w:cs="微软雅黑"/>
          <w:b/>
          <w:bCs/>
          <w:szCs w:val="21"/>
        </w:rPr>
      </w:r>
      <w:r/>
    </w:p>
    <w:p>
      <w:pPr>
        <w:pStyle w:val="1044"/>
        <w:ind w:firstLine="540"/>
        <w:spacing w:line="420" w:lineRule="exact"/>
        <w:rPr>
          <w:rFonts w:hint="eastAsia" w:ascii="微软雅黑" w:hAnsi="微软雅黑" w:cs="微软雅黑"/>
          <w:szCs w:val="21"/>
        </w:rPr>
      </w:pPr>
      <w:r>
        <w:rPr>
          <w:rFonts w:hint="eastAsia" w:ascii="微软雅黑" w:hAnsi="微软雅黑" w:cs="微软雅黑"/>
          <w:b/>
          <w:bCs/>
          <w:szCs w:val="21"/>
        </w:rPr>
        <w:t xml:space="preserve">获取采购文件电话：025-83609953    邮箱：jshc3333@163.com</w:t>
      </w:r>
      <w:r>
        <w:rPr>
          <w:rFonts w:hint="eastAsia" w:ascii="微软雅黑" w:hAnsi="微软雅黑" w:cs="微软雅黑"/>
          <w:szCs w:val="21"/>
        </w:rPr>
        <w:t xml:space="preserve"> </w:t>
      </w:r>
      <w:r>
        <w:rPr>
          <w:rFonts w:hint="eastAsia" w:ascii="微软雅黑" w:hAnsi="微软雅黑" w:cs="微软雅黑"/>
          <w:szCs w:val="21"/>
        </w:rPr>
      </w:r>
      <w:r/>
    </w:p>
    <w:p>
      <w:pPr>
        <w:pStyle w:val="1044"/>
        <w:spacing w:line="440" w:lineRule="exact"/>
        <w:rPr>
          <w:rFonts w:hint="eastAsia" w:ascii="微软雅黑" w:hAnsi="微软雅黑" w:cs="微软雅黑"/>
          <w:b/>
          <w:szCs w:val="21"/>
        </w:rPr>
      </w:pPr>
      <w:r/>
      <w:bookmarkStart w:id="24" w:name="_Toc1219"/>
      <w:r>
        <w:rPr>
          <w:rFonts w:hint="eastAsia" w:ascii="微软雅黑" w:hAnsi="微软雅黑" w:cs="微软雅黑"/>
          <w:b/>
          <w:szCs w:val="21"/>
        </w:rPr>
        <w:t xml:space="preserve">四、</w:t>
      </w:r>
      <w:bookmarkEnd w:id="20"/>
      <w:r/>
      <w:bookmarkEnd w:id="21"/>
      <w:r/>
      <w:bookmarkEnd w:id="22"/>
      <w:r/>
      <w:bookmarkEnd w:id="23"/>
      <w:r/>
      <w:bookmarkEnd w:id="24"/>
      <w:r>
        <w:rPr>
          <w:rFonts w:hint="eastAsia" w:ascii="微软雅黑" w:hAnsi="微软雅黑" w:cs="微软雅黑"/>
          <w:b/>
          <w:szCs w:val="21"/>
        </w:rPr>
        <w:t xml:space="preserve">提交投标文件截止时间、开标时间和地点</w:t>
      </w:r>
      <w:r>
        <w:rPr>
          <w:rFonts w:hint="eastAsia" w:ascii="微软雅黑" w:hAnsi="微软雅黑" w:cs="微软雅黑"/>
          <w:b/>
          <w:szCs w:val="21"/>
        </w:rPr>
      </w:r>
      <w:r/>
    </w:p>
    <w:p>
      <w:pPr>
        <w:pStyle w:val="1044"/>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截止时间：</w:t>
      </w:r>
      <w:r>
        <w:rPr>
          <w:rFonts w:hint="eastAsia" w:ascii="微软雅黑" w:hAnsi="微软雅黑" w:cs="微软雅黑"/>
          <w:color w:val="000000"/>
          <w:szCs w:val="21"/>
        </w:rPr>
        <w:t xml:space="preserve">202</w:t>
      </w:r>
      <w:r>
        <w:rPr>
          <w:rFonts w:hint="eastAsia" w:ascii="微软雅黑" w:hAnsi="微软雅黑" w:cs="微软雅黑"/>
          <w:color w:val="000000"/>
          <w:szCs w:val="21"/>
          <w:lang w:val="en-US" w:eastAsia="zh-CN"/>
        </w:rPr>
        <w:t xml:space="preserve">6</w:t>
      </w:r>
      <w:r>
        <w:rPr>
          <w:rFonts w:hint="eastAsia" w:ascii="微软雅黑" w:hAnsi="微软雅黑" w:cs="微软雅黑"/>
          <w:bCs/>
          <w:color w:val="000000"/>
          <w:szCs w:val="21"/>
        </w:rPr>
        <w:t xml:space="preserve">年</w:t>
      </w:r>
      <w:r>
        <w:rPr>
          <w:rFonts w:hint="eastAsia" w:ascii="微软雅黑" w:hAnsi="微软雅黑" w:cs="微软雅黑"/>
          <w:bCs/>
          <w:color w:val="000000"/>
          <w:szCs w:val="21"/>
          <w:lang w:val="en-US" w:eastAsia="zh-CN"/>
        </w:rPr>
        <w:t xml:space="preserve">04</w:t>
      </w:r>
      <w:r>
        <w:rPr>
          <w:rFonts w:hint="eastAsia" w:ascii="微软雅黑" w:hAnsi="微软雅黑" w:cs="微软雅黑"/>
          <w:bCs/>
          <w:color w:val="000000"/>
          <w:szCs w:val="21"/>
        </w:rPr>
        <w:t xml:space="preserve">月</w:t>
      </w:r>
      <w:r>
        <w:rPr>
          <w:rFonts w:hint="eastAsia" w:ascii="微软雅黑" w:hAnsi="微软雅黑" w:cs="微软雅黑"/>
          <w:bCs/>
          <w:color w:val="000000"/>
          <w:szCs w:val="21"/>
          <w:lang w:val="en-US" w:eastAsia="zh-CN"/>
        </w:rPr>
        <w:t xml:space="preserve">15</w:t>
      </w:r>
      <w:r>
        <w:rPr>
          <w:rFonts w:hint="eastAsia" w:ascii="微软雅黑" w:hAnsi="微软雅黑" w:cs="微软雅黑"/>
          <w:bCs/>
          <w:color w:val="000000"/>
          <w:szCs w:val="21"/>
        </w:rPr>
        <w:t xml:space="preserve">日</w:t>
      </w:r>
      <w:r>
        <w:rPr>
          <w:rFonts w:hint="eastAsia" w:ascii="微软雅黑" w:hAnsi="微软雅黑" w:cs="微软雅黑"/>
          <w:bCs/>
          <w:color w:val="000000"/>
          <w:szCs w:val="21"/>
          <w:lang w:val="en-US" w:eastAsia="zh-CN"/>
        </w:rPr>
        <w:t xml:space="preserve">14</w:t>
      </w:r>
      <w:r>
        <w:rPr>
          <w:rFonts w:hint="eastAsia" w:ascii="微软雅黑" w:hAnsi="微软雅黑" w:cs="微软雅黑"/>
          <w:bCs/>
          <w:color w:val="000000"/>
          <w:szCs w:val="21"/>
        </w:rPr>
        <w:t xml:space="preserve">点</w:t>
      </w:r>
      <w:r>
        <w:rPr>
          <w:rFonts w:hint="eastAsia" w:ascii="微软雅黑" w:hAnsi="微软雅黑" w:cs="微软雅黑"/>
          <w:bCs/>
          <w:color w:val="000000"/>
          <w:szCs w:val="21"/>
          <w:lang w:val="en-US" w:eastAsia="zh-CN"/>
        </w:rPr>
        <w:t xml:space="preserve">00</w:t>
      </w:r>
      <w:r>
        <w:rPr>
          <w:rFonts w:hint="eastAsia" w:ascii="微软雅黑" w:hAnsi="微软雅黑" w:cs="微软雅黑"/>
          <w:bCs/>
          <w:color w:val="000000"/>
          <w:szCs w:val="21"/>
        </w:rPr>
        <w:t xml:space="preserve">分</w:t>
      </w:r>
      <w:r>
        <w:rPr>
          <w:rFonts w:hint="eastAsia" w:ascii="微软雅黑" w:hAnsi="微软雅黑" w:cs="微软雅黑"/>
          <w:bCs/>
          <w:color w:val="000000"/>
          <w:szCs w:val="21"/>
          <w:lang w:val="en-US" w:eastAsia="zh-CN"/>
        </w:rPr>
        <w:t xml:space="preserve">00秒</w:t>
      </w:r>
      <w:r>
        <w:rPr>
          <w:rFonts w:hint="eastAsia" w:ascii="微软雅黑" w:hAnsi="微软雅黑" w:cs="微软雅黑"/>
          <w:bCs/>
          <w:szCs w:val="21"/>
        </w:rPr>
        <w:t xml:space="preserve">（北京时间）</w:t>
      </w:r>
      <w:r>
        <w:rPr>
          <w:rFonts w:hint="eastAsia" w:ascii="微软雅黑" w:hAnsi="微软雅黑" w:cs="微软雅黑"/>
          <w:bCs/>
          <w:szCs w:val="21"/>
        </w:rPr>
      </w:r>
      <w:r/>
    </w:p>
    <w:p>
      <w:pPr>
        <w:pStyle w:val="1044"/>
        <w:ind w:firstLine="420"/>
        <w:spacing w:line="420" w:lineRule="exact"/>
        <w:rPr>
          <w:rFonts w:hint="eastAsia" w:ascii="微软雅黑" w:hAnsi="微软雅黑" w:cs="微软雅黑"/>
          <w:bCs/>
          <w:szCs w:val="21"/>
        </w:rPr>
      </w:pPr>
      <w:r>
        <w:rPr>
          <w:rFonts w:hint="eastAsia" w:ascii="微软雅黑" w:hAnsi="微软雅黑" w:cs="微软雅黑"/>
          <w:bCs/>
          <w:szCs w:val="21"/>
        </w:rPr>
        <w:t xml:space="preserve">开标时间：</w:t>
      </w:r>
      <w:r>
        <w:rPr>
          <w:rFonts w:hint="eastAsia" w:ascii="微软雅黑" w:hAnsi="微软雅黑" w:cs="微软雅黑"/>
          <w:color w:val="000000"/>
          <w:szCs w:val="21"/>
        </w:rPr>
        <w:t xml:space="preserve">202</w:t>
      </w:r>
      <w:r>
        <w:rPr>
          <w:rFonts w:hint="eastAsia" w:ascii="微软雅黑" w:hAnsi="微软雅黑" w:cs="微软雅黑"/>
          <w:color w:val="000000"/>
          <w:szCs w:val="21"/>
          <w:lang w:val="en-US" w:eastAsia="zh-CN"/>
        </w:rPr>
        <w:t xml:space="preserve">6</w:t>
      </w:r>
      <w:r>
        <w:rPr>
          <w:rFonts w:hint="eastAsia" w:ascii="微软雅黑" w:hAnsi="微软雅黑" w:cs="微软雅黑"/>
          <w:bCs/>
          <w:color w:val="000000"/>
          <w:szCs w:val="21"/>
        </w:rPr>
        <w:t xml:space="preserve">年</w:t>
      </w:r>
      <w:r>
        <w:rPr>
          <w:rFonts w:hint="eastAsia" w:ascii="微软雅黑" w:hAnsi="微软雅黑" w:cs="微软雅黑"/>
          <w:bCs/>
          <w:color w:val="000000"/>
          <w:szCs w:val="21"/>
          <w:lang w:val="en-US" w:eastAsia="zh-CN"/>
        </w:rPr>
        <w:t xml:space="preserve">04</w:t>
      </w:r>
      <w:r>
        <w:rPr>
          <w:rFonts w:hint="eastAsia" w:ascii="微软雅黑" w:hAnsi="微软雅黑" w:cs="微软雅黑"/>
          <w:bCs/>
          <w:color w:val="000000"/>
          <w:szCs w:val="21"/>
        </w:rPr>
        <w:t xml:space="preserve">月</w:t>
      </w:r>
      <w:r>
        <w:rPr>
          <w:rFonts w:hint="eastAsia" w:ascii="微软雅黑" w:hAnsi="微软雅黑" w:cs="微软雅黑"/>
          <w:bCs/>
          <w:color w:val="000000"/>
          <w:szCs w:val="21"/>
          <w:lang w:val="en-US" w:eastAsia="zh-CN"/>
        </w:rPr>
        <w:t xml:space="preserve">15</w:t>
      </w:r>
      <w:r>
        <w:rPr>
          <w:rFonts w:hint="eastAsia" w:ascii="微软雅黑" w:hAnsi="微软雅黑" w:cs="微软雅黑"/>
          <w:bCs/>
          <w:color w:val="000000"/>
          <w:szCs w:val="21"/>
        </w:rPr>
        <w:t xml:space="preserve">日</w:t>
      </w:r>
      <w:r>
        <w:rPr>
          <w:rFonts w:hint="eastAsia" w:ascii="微软雅黑" w:hAnsi="微软雅黑" w:cs="微软雅黑"/>
          <w:bCs/>
          <w:color w:val="000000"/>
          <w:szCs w:val="21"/>
          <w:lang w:val="en-US" w:eastAsia="zh-CN"/>
        </w:rPr>
        <w:t xml:space="preserve">14</w:t>
      </w:r>
      <w:r>
        <w:rPr>
          <w:rFonts w:hint="eastAsia" w:ascii="微软雅黑" w:hAnsi="微软雅黑" w:cs="微软雅黑"/>
          <w:bCs/>
          <w:color w:val="000000"/>
          <w:szCs w:val="21"/>
        </w:rPr>
        <w:t xml:space="preserve">点</w:t>
      </w:r>
      <w:r>
        <w:rPr>
          <w:rFonts w:hint="eastAsia" w:ascii="微软雅黑" w:hAnsi="微软雅黑" w:cs="微软雅黑"/>
          <w:bCs/>
          <w:color w:val="000000"/>
          <w:szCs w:val="21"/>
          <w:lang w:val="en-US" w:eastAsia="zh-CN"/>
        </w:rPr>
        <w:t xml:space="preserve">00</w:t>
      </w:r>
      <w:r>
        <w:rPr>
          <w:rFonts w:hint="eastAsia" w:ascii="微软雅黑" w:hAnsi="微软雅黑" w:cs="微软雅黑"/>
          <w:bCs/>
          <w:color w:val="000000"/>
          <w:szCs w:val="21"/>
        </w:rPr>
        <w:t xml:space="preserve">分</w:t>
      </w:r>
      <w:r>
        <w:rPr>
          <w:rFonts w:hint="eastAsia" w:ascii="微软雅黑" w:hAnsi="微软雅黑" w:cs="微软雅黑"/>
          <w:bCs/>
          <w:color w:val="000000"/>
          <w:szCs w:val="21"/>
          <w:lang w:val="en-US" w:eastAsia="zh-CN"/>
        </w:rPr>
        <w:t xml:space="preserve">00秒</w:t>
      </w:r>
      <w:r>
        <w:rPr>
          <w:rFonts w:hint="eastAsia" w:ascii="微软雅黑" w:hAnsi="微软雅黑" w:cs="微软雅黑"/>
          <w:bCs/>
          <w:color w:val="000000"/>
          <w:szCs w:val="21"/>
        </w:rPr>
        <w:t xml:space="preserve">后</w:t>
      </w:r>
      <w:r>
        <w:rPr>
          <w:rFonts w:hint="eastAsia" w:ascii="微软雅黑" w:hAnsi="微软雅黑" w:cs="微软雅黑"/>
          <w:bCs/>
          <w:szCs w:val="21"/>
        </w:rPr>
        <w:t xml:space="preserve">（北京时间）</w:t>
      </w:r>
      <w:r>
        <w:rPr>
          <w:rFonts w:hint="eastAsia" w:ascii="微软雅黑" w:hAnsi="微软雅黑" w:cs="微软雅黑"/>
          <w:bCs/>
          <w:szCs w:val="21"/>
        </w:rPr>
      </w:r>
      <w:r/>
    </w:p>
    <w:p>
      <w:pPr>
        <w:pStyle w:val="1044"/>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地点：南京市建邺区嘉陵江东街8号综合体B3栋一单元16层</w:t>
      </w:r>
      <w:r>
        <w:rPr>
          <w:rFonts w:hint="eastAsia" w:ascii="微软雅黑" w:hAnsi="微软雅黑" w:cs="微软雅黑"/>
          <w:szCs w:val="21"/>
        </w:rPr>
      </w:r>
      <w:r/>
    </w:p>
    <w:p>
      <w:pPr>
        <w:pStyle w:val="1044"/>
        <w:rPr>
          <w:rFonts w:hint="eastAsia" w:ascii="微软雅黑" w:hAnsi="微软雅黑" w:cs="微软雅黑"/>
          <w:b/>
          <w:bCs/>
        </w:rPr>
      </w:pPr>
      <w:r/>
      <w:bookmarkStart w:id="25" w:name="_Toc31210"/>
      <w:r/>
      <w:bookmarkStart w:id="26" w:name="_Toc28359084"/>
      <w:r/>
      <w:bookmarkStart w:id="27" w:name="_Toc35393794"/>
      <w:r/>
      <w:bookmarkStart w:id="28" w:name="_Toc28359007"/>
      <w:r/>
      <w:bookmarkStart w:id="29" w:name="_Toc35393625"/>
      <w:r>
        <w:rPr>
          <w:rFonts w:hint="eastAsia" w:ascii="微软雅黑" w:hAnsi="微软雅黑" w:cs="微软雅黑"/>
          <w:b/>
          <w:bCs/>
        </w:rPr>
        <w:t xml:space="preserve">五、公告期限</w:t>
      </w:r>
      <w:bookmarkEnd w:id="25"/>
      <w:r/>
      <w:bookmarkEnd w:id="26"/>
      <w:r/>
      <w:bookmarkEnd w:id="27"/>
      <w:r/>
      <w:bookmarkEnd w:id="28"/>
      <w:r/>
      <w:bookmarkEnd w:id="29"/>
      <w:r>
        <w:rPr>
          <w:rFonts w:hint="eastAsia" w:ascii="微软雅黑" w:hAnsi="微软雅黑" w:cs="微软雅黑"/>
          <w:b/>
          <w:bCs/>
        </w:rPr>
      </w:r>
      <w:r/>
    </w:p>
    <w:p>
      <w:pPr>
        <w:pStyle w:val="1044"/>
        <w:ind w:firstLine="420"/>
        <w:spacing w:line="420" w:lineRule="exact"/>
        <w:rPr>
          <w:rFonts w:hint="eastAsia" w:ascii="微软雅黑" w:hAnsi="微软雅黑" w:cs="微软雅黑"/>
        </w:rPr>
      </w:pPr>
      <w:r>
        <w:rPr>
          <w:rFonts w:hint="eastAsia" w:ascii="微软雅黑" w:hAnsi="微软雅黑" w:cs="微软雅黑"/>
          <w:szCs w:val="21"/>
        </w:rPr>
        <w:t xml:space="preserve">自本公告发布之日起5个工作日。</w:t>
      </w:r>
      <w:r>
        <w:rPr>
          <w:rFonts w:hint="eastAsia" w:ascii="微软雅黑" w:hAnsi="微软雅黑" w:cs="微软雅黑"/>
        </w:rPr>
      </w:r>
      <w:r/>
    </w:p>
    <w:p>
      <w:pPr>
        <w:pStyle w:val="1044"/>
        <w:rPr>
          <w:rFonts w:hint="eastAsia" w:ascii="微软雅黑" w:hAnsi="微软雅黑" w:cs="微软雅黑"/>
          <w:b/>
          <w:bCs/>
        </w:rPr>
      </w:pPr>
      <w:r/>
      <w:bookmarkStart w:id="30" w:name="_Toc35393795"/>
      <w:r/>
      <w:bookmarkStart w:id="31" w:name="_Toc19985"/>
      <w:r/>
      <w:bookmarkStart w:id="32" w:name="_Toc35393626"/>
      <w:r>
        <w:rPr>
          <w:rFonts w:hint="eastAsia" w:ascii="微软雅黑" w:hAnsi="微软雅黑" w:cs="微软雅黑"/>
          <w:b/>
          <w:bCs/>
        </w:rPr>
        <w:t xml:space="preserve">六、其他补充事宜</w:t>
      </w:r>
      <w:bookmarkEnd w:id="30"/>
      <w:r/>
      <w:bookmarkEnd w:id="31"/>
      <w:r/>
      <w:bookmarkEnd w:id="32"/>
      <w:r>
        <w:rPr>
          <w:rFonts w:hint="eastAsia" w:ascii="微软雅黑" w:hAnsi="微软雅黑" w:cs="微软雅黑"/>
          <w:b/>
          <w:bCs/>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微软雅黑" w:hAnsi="微软雅黑" w:cs="微软雅黑"/>
          <w:szCs w:val="21"/>
          <w:highlight w:val="none"/>
        </w:rPr>
        <w:t xml:space="preserve">     1</w:t>
      </w:r>
      <w:r>
        <w:rPr>
          <w:rFonts w:hint="eastAsia" w:ascii="微软雅黑" w:hAnsi="微软雅黑" w:cs="微软雅黑"/>
          <w:szCs w:val="21"/>
          <w:highlight w:val="none"/>
        </w:rPr>
        <w:t xml:space="preserve">、</w:t>
      </w:r>
      <w:r>
        <w:rPr>
          <w:rFonts w:hint="eastAsia" w:ascii="微软雅黑" w:hAnsi="微软雅黑" w:cs="微软雅黑"/>
          <w:szCs w:val="21"/>
          <w:highlight w:val="none"/>
        </w:rPr>
        <w:t xml:space="preserve">本项目</w:t>
      </w:r>
      <w:r>
        <w:rPr>
          <w:rFonts w:hint="eastAsia" w:ascii="微软雅黑" w:hAnsi="微软雅黑" w:cs="微软雅黑"/>
          <w:szCs w:val="21"/>
          <w:highlight w:val="none"/>
        </w:rPr>
        <w:t xml:space="preserve">采购</w:t>
      </w:r>
      <w:r>
        <w:rPr>
          <w:rFonts w:hint="eastAsia" w:ascii="微软雅黑" w:hAnsi="微软雅黑" w:cs="微软雅黑"/>
          <w:szCs w:val="21"/>
          <w:highlight w:val="none"/>
        </w:rPr>
        <w:t xml:space="preserve">编号</w:t>
      </w:r>
      <w:r>
        <w:rPr>
          <w:rFonts w:hint="eastAsia" w:ascii="微软雅黑" w:hAnsi="微软雅黑" w:cs="微软雅黑"/>
          <w:szCs w:val="21"/>
          <w:highlight w:val="none"/>
        </w:rPr>
        <w:t xml:space="preserve">为</w:t>
      </w:r>
      <w:r>
        <w:rPr>
          <w:rFonts w:hint="eastAsia" w:ascii="微软雅黑" w:hAnsi="微软雅黑" w:cs="微软雅黑"/>
        </w:rPr>
      </w:r>
      <w:r>
        <w:rPr>
          <w:rFonts w:ascii="Microsoft YaHei" w:hAnsi="Microsoft YaHei" w:eastAsia="Microsoft YaHei" w:cs="Microsoft YaHei"/>
          <w:color w:val="000000"/>
          <w:sz w:val="21"/>
        </w:rPr>
        <w:t xml:space="preserve">JSZC-320000-JSHC-G2026-0008/JSHC-2026020076A2</w:t>
      </w:r>
      <w:r>
        <w:rPr>
          <w:rFonts w:ascii="Microsoft YaHei" w:hAnsi="Microsoft YaHei" w:eastAsia="Microsoft YaHei" w:cs="Microsoft YaHei"/>
          <w:color w:val="000000"/>
          <w:sz w:val="21"/>
        </w:rPr>
        <w:t xml:space="preserve">。</w:t>
      </w:r>
      <w:r/>
      <w:r>
        <w:rPr>
          <w:rFonts w:hint="eastAsia" w:ascii="微软雅黑" w:hAnsi="微软雅黑" w:cs="微软雅黑"/>
          <w:szCs w:val="21"/>
          <w:highlight w:val="none"/>
        </w:rPr>
      </w:r>
      <w:r>
        <w:rPr>
          <w:rFonts w:hint="eastAsia" w:ascii="微软雅黑" w:hAnsi="微软雅黑" w:cs="微软雅黑"/>
          <w:szCs w:val="21"/>
          <w:highlight w:val="none"/>
        </w:rPr>
      </w:r>
      <w:r/>
      <w:r>
        <w:rPr>
          <w:sz w:val="21"/>
        </w:rPr>
      </w:r>
    </w:p>
    <w:p>
      <w:pPr>
        <w:pStyle w:val="1044"/>
        <w:ind w:firstLine="540"/>
        <w:spacing w:line="420" w:lineRule="exact"/>
        <w:rPr>
          <w:rFonts w:hint="eastAsia" w:ascii="微软雅黑" w:hAnsi="微软雅黑" w:cs="微软雅黑"/>
          <w:highlight w:val="none"/>
        </w:rPr>
      </w:pPr>
      <w:r>
        <w:t xml:space="preserve">2</w:t>
      </w:r>
      <w:r>
        <w:t xml:space="preserve">、</w:t>
      </w:r>
      <w:bookmarkStart w:id="33" w:name="_Toc28359085"/>
      <w:r/>
      <w:bookmarkStart w:id="34" w:name="_Toc19317"/>
      <w:r/>
      <w:bookmarkStart w:id="35" w:name="_Toc35393627"/>
      <w:r/>
      <w:bookmarkStart w:id="36" w:name="_Toc35393796"/>
      <w:r/>
      <w:bookmarkStart w:id="37" w:name="_Toc28359008"/>
      <w:r>
        <w:rPr>
          <w:rFonts w:hint="eastAsia" w:ascii="微软雅黑" w:hAnsi="微软雅黑" w:cs="微软雅黑"/>
          <w:szCs w:val="21"/>
        </w:rPr>
        <w:t xml:space="preserve">本项</w:t>
      </w:r>
      <w:r>
        <w:rPr>
          <w:rFonts w:hint="eastAsia" w:ascii="微软雅黑" w:hAnsi="微软雅黑" w:cs="微软雅黑"/>
          <w:color w:val="000000"/>
          <w:szCs w:val="21"/>
        </w:rPr>
        <w:t xml:space="preserve">目公告在江苏政府采购网（www.ccgp-jiangsu.gov.cn）发布。    </w:t>
      </w:r>
      <w:r>
        <w:rPr>
          <w:rFonts w:hint="eastAsia" w:ascii="微软雅黑" w:hAnsi="微软雅黑" w:cs="微软雅黑"/>
          <w:szCs w:val="21"/>
        </w:rPr>
        <w:t xml:space="preserve"> </w:t>
      </w:r>
      <w:r>
        <w:rPr>
          <w:rFonts w:hint="eastAsia" w:ascii="微软雅黑" w:hAnsi="微软雅黑" w:cs="微软雅黑"/>
          <w:szCs w:val="21"/>
        </w:rPr>
      </w:r>
      <w:r/>
    </w:p>
    <w:p>
      <w:pPr>
        <w:pStyle w:val="1044"/>
        <w:rPr>
          <w:rFonts w:hint="eastAsia" w:ascii="微软雅黑" w:hAnsi="微软雅黑" w:cs="微软雅黑"/>
          <w:b/>
          <w:bCs/>
        </w:rPr>
      </w:pPr>
      <w:r>
        <w:rPr>
          <w:rFonts w:hint="eastAsia" w:ascii="微软雅黑" w:hAnsi="微软雅黑" w:cs="微软雅黑"/>
          <w:b/>
          <w:bCs/>
        </w:rPr>
        <w:t xml:space="preserve">七、对本次招标提出询问，请按以下方式联系。</w:t>
      </w:r>
      <w:bookmarkEnd w:id="33"/>
      <w:r/>
      <w:bookmarkEnd w:id="34"/>
      <w:r/>
      <w:bookmarkEnd w:id="35"/>
      <w:r/>
      <w:bookmarkEnd w:id="36"/>
      <w:r/>
      <w:bookmarkEnd w:id="37"/>
      <w:r>
        <w:rPr>
          <w:rFonts w:hint="eastAsia" w:ascii="微软雅黑" w:hAnsi="微软雅黑" w:cs="微软雅黑"/>
          <w:b/>
          <w:bCs/>
        </w:rPr>
      </w:r>
      <w:r/>
    </w:p>
    <w:p>
      <w:pPr>
        <w:pStyle w:val="1044"/>
        <w:ind w:firstLine="420"/>
        <w:spacing w:line="420" w:lineRule="exact"/>
        <w:rPr>
          <w:rFonts w:hint="eastAsia" w:ascii="微软雅黑" w:hAnsi="微软雅黑" w:cs="微软雅黑"/>
          <w:bCs/>
          <w:szCs w:val="21"/>
        </w:rPr>
      </w:pPr>
      <w:r/>
      <w:bookmarkStart w:id="38" w:name="_Toc35393806"/>
      <w:r/>
      <w:bookmarkStart w:id="39" w:name="_Toc28359019"/>
      <w:r/>
      <w:bookmarkStart w:id="40" w:name="_Toc28359096"/>
      <w:r/>
      <w:bookmarkStart w:id="41" w:name="_Toc35393637"/>
      <w:r>
        <w:rPr>
          <w:rFonts w:hint="eastAsia" w:ascii="微软雅黑" w:hAnsi="微软雅黑" w:cs="微软雅黑"/>
          <w:bCs/>
          <w:szCs w:val="21"/>
        </w:rPr>
        <w:t xml:space="preserve">1.采购人信息</w:t>
      </w:r>
      <w:bookmarkEnd w:id="38"/>
      <w:r/>
      <w:bookmarkEnd w:id="39"/>
      <w:r/>
      <w:bookmarkEnd w:id="40"/>
      <w:r/>
      <w:bookmarkEnd w:id="41"/>
      <w:r>
        <w:rPr>
          <w:rFonts w:hint="eastAsia" w:ascii="微软雅黑" w:hAnsi="微软雅黑" w:cs="微软雅黑"/>
          <w:bCs/>
          <w:szCs w:val="21"/>
        </w:rPr>
      </w:r>
      <w:r/>
    </w:p>
    <w:p>
      <w:pPr>
        <w:pStyle w:val="1044"/>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称：南京医科大学　　　</w:t>
      </w:r>
      <w:r>
        <w:rPr>
          <w:rFonts w:hint="eastAsia" w:ascii="微软雅黑" w:hAnsi="微软雅黑" w:cs="微软雅黑"/>
          <w:bCs/>
          <w:szCs w:val="21"/>
        </w:rPr>
      </w:r>
      <w:r/>
    </w:p>
    <w:p>
      <w:pPr>
        <w:pStyle w:val="1044"/>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址：南京市江宁区龙眠大道101号　　</w:t>
      </w:r>
      <w:r>
        <w:rPr>
          <w:rFonts w:hint="eastAsia" w:ascii="微软雅黑" w:hAnsi="微软雅黑" w:cs="微软雅黑"/>
          <w:bCs/>
          <w:szCs w:val="21"/>
        </w:rPr>
      </w:r>
      <w:r/>
    </w:p>
    <w:p>
      <w:pPr>
        <w:pStyle w:val="1044"/>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联系方式：尚老师  025-86869249　 　　   　 </w:t>
      </w:r>
      <w:r>
        <w:rPr>
          <w:rFonts w:hint="eastAsia" w:ascii="微软雅黑" w:hAnsi="微软雅黑" w:cs="微软雅黑"/>
          <w:bCs/>
          <w:szCs w:val="21"/>
        </w:rPr>
      </w:r>
      <w:r/>
    </w:p>
    <w:p>
      <w:pPr>
        <w:pStyle w:val="1044"/>
        <w:ind w:firstLine="420"/>
        <w:spacing w:line="420" w:lineRule="exact"/>
        <w:rPr>
          <w:rFonts w:hint="eastAsia" w:ascii="微软雅黑" w:hAnsi="微软雅黑" w:cs="微软雅黑"/>
          <w:bCs/>
          <w:szCs w:val="21"/>
        </w:rPr>
      </w:pPr>
      <w:r/>
      <w:bookmarkStart w:id="42" w:name="_Toc35393638"/>
      <w:r/>
      <w:bookmarkStart w:id="43" w:name="_Toc35393807"/>
      <w:r/>
      <w:bookmarkStart w:id="44" w:name="_Toc28359020"/>
      <w:r/>
      <w:bookmarkStart w:id="45" w:name="_Toc28359097"/>
      <w:r>
        <w:rPr>
          <w:rFonts w:hint="eastAsia" w:ascii="微软雅黑" w:hAnsi="微软雅黑" w:cs="微软雅黑"/>
          <w:bCs/>
          <w:szCs w:val="21"/>
        </w:rPr>
        <w:t xml:space="preserve">2.采购代理机构信息</w:t>
      </w:r>
      <w:bookmarkEnd w:id="42"/>
      <w:r/>
      <w:bookmarkEnd w:id="43"/>
      <w:r/>
      <w:bookmarkEnd w:id="44"/>
      <w:r/>
      <w:bookmarkEnd w:id="45"/>
      <w:r>
        <w:rPr>
          <w:rFonts w:hint="eastAsia" w:ascii="微软雅黑" w:hAnsi="微软雅黑" w:cs="微软雅黑"/>
          <w:bCs/>
          <w:szCs w:val="21"/>
        </w:rPr>
      </w:r>
      <w:r/>
    </w:p>
    <w:p>
      <w:pPr>
        <w:pStyle w:val="1044"/>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　　　　　　　</w:t>
      </w:r>
      <w:r>
        <w:rPr>
          <w:rFonts w:hint="eastAsia" w:ascii="微软雅黑" w:hAnsi="微软雅黑" w:cs="微软雅黑"/>
          <w:bCs/>
          <w:szCs w:val="21"/>
        </w:rPr>
      </w:r>
      <w:r/>
    </w:p>
    <w:p>
      <w:pPr>
        <w:pStyle w:val="1044"/>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　　　　　　　　　　　</w:t>
      </w:r>
      <w:r>
        <w:rPr>
          <w:rFonts w:hint="eastAsia" w:ascii="微软雅黑" w:hAnsi="微软雅黑" w:cs="微软雅黑"/>
          <w:bCs/>
          <w:szCs w:val="21"/>
        </w:rPr>
      </w:r>
      <w:r/>
    </w:p>
    <w:p>
      <w:pPr>
        <w:pStyle w:val="1044"/>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联系方式：张婷</w:t>
      </w:r>
      <w:r>
        <w:rPr>
          <w:rFonts w:hint="eastAsia" w:ascii="微软雅黑" w:hAnsi="微软雅黑" w:cs="微软雅黑"/>
          <w:bCs/>
          <w:szCs w:val="21"/>
          <w:lang w:val="en-US" w:eastAsia="zh-CN"/>
        </w:rPr>
        <w:t xml:space="preserve">/孔新淇</w:t>
      </w:r>
      <w:r>
        <w:rPr>
          <w:rFonts w:hint="eastAsia" w:ascii="微软雅黑" w:hAnsi="微软雅黑" w:cs="微软雅黑"/>
          <w:bCs/>
          <w:szCs w:val="21"/>
        </w:rPr>
        <w:t xml:space="preserve"> 025-83603378　　　　　　　  　　　</w:t>
      </w:r>
      <w:r>
        <w:rPr>
          <w:rFonts w:hint="eastAsia" w:ascii="微软雅黑" w:hAnsi="微软雅黑" w:cs="微软雅黑"/>
          <w:bCs/>
          <w:szCs w:val="21"/>
        </w:rPr>
      </w:r>
      <w:r/>
    </w:p>
    <w:p>
      <w:pPr>
        <w:pStyle w:val="1044"/>
        <w:ind w:firstLine="420"/>
        <w:spacing w:line="420" w:lineRule="exact"/>
        <w:rPr>
          <w:rFonts w:hint="eastAsia" w:ascii="微软雅黑" w:hAnsi="微软雅黑" w:cs="微软雅黑"/>
          <w:bCs/>
          <w:szCs w:val="21"/>
        </w:rPr>
      </w:pPr>
      <w:r/>
      <w:bookmarkStart w:id="46" w:name="_Toc35393639"/>
      <w:r/>
      <w:bookmarkStart w:id="47" w:name="_Toc28359021"/>
      <w:r/>
      <w:bookmarkStart w:id="48" w:name="_Toc28359098"/>
      <w:r/>
      <w:bookmarkStart w:id="49" w:name="_Toc35393808"/>
      <w:r>
        <w:rPr>
          <w:rFonts w:hint="eastAsia" w:ascii="微软雅黑" w:hAnsi="微软雅黑" w:cs="微软雅黑"/>
          <w:bCs/>
          <w:szCs w:val="21"/>
        </w:rPr>
        <w:t xml:space="preserve">3.项目联系方式</w:t>
      </w:r>
      <w:bookmarkEnd w:id="46"/>
      <w:r/>
      <w:bookmarkEnd w:id="47"/>
      <w:r/>
      <w:bookmarkEnd w:id="48"/>
      <w:r/>
      <w:bookmarkEnd w:id="49"/>
      <w:r>
        <w:rPr>
          <w:rFonts w:hint="eastAsia" w:ascii="微软雅黑" w:hAnsi="微软雅黑" w:cs="微软雅黑"/>
          <w:bCs/>
          <w:szCs w:val="21"/>
        </w:rPr>
      </w:r>
      <w:r/>
    </w:p>
    <w:p>
      <w:pPr>
        <w:pStyle w:val="1073"/>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w:t>
      </w:r>
      <w:r>
        <w:rPr>
          <w:rFonts w:hint="eastAsia" w:ascii="微软雅黑" w:hAnsi="微软雅黑" w:eastAsia="微软雅黑" w:cs="微软雅黑"/>
          <w:bCs/>
          <w:sz w:val="21"/>
          <w:szCs w:val="21"/>
        </w:rPr>
        <w:t xml:space="preserve">人：孔新淇  </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1044"/>
        <w:ind w:firstLine="630"/>
        <w:spacing w:line="420" w:lineRule="exact"/>
        <w:rPr>
          <w:rFonts w:hint="eastAsia" w:ascii="微软雅黑" w:hAnsi="微软雅黑" w:cs="微软雅黑"/>
        </w:rPr>
        <w:sectPr>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rPr>
        <w:t xml:space="preserve">电　　 话：</w:t>
      </w:r>
      <w:r>
        <w:rPr>
          <w:rFonts w:hint="eastAsia" w:ascii="微软雅黑" w:hAnsi="微软雅黑" w:cs="微软雅黑"/>
          <w:bCs/>
          <w:szCs w:val="21"/>
        </w:rPr>
        <w:t xml:space="preserve">025-83603378　　</w:t>
      </w:r>
      <w:r>
        <w:rPr>
          <w:rFonts w:hint="eastAsia" w:ascii="微软雅黑" w:hAnsi="微软雅黑" w:cs="微软雅黑"/>
        </w:rPr>
      </w:r>
      <w:r/>
    </w:p>
    <w:p>
      <w:pPr>
        <w:pStyle w:val="1045"/>
        <w:numPr>
          <w:ilvl w:val="0"/>
          <w:numId w:val="5"/>
        </w:numPr>
        <w:rPr>
          <w:rFonts w:hint="eastAsia" w:ascii="微软雅黑" w:hAnsi="微软雅黑" w:cs="微软雅黑"/>
        </w:rPr>
      </w:pPr>
      <w:r/>
      <w:bookmarkStart w:id="50" w:name="_Toc26547"/>
      <w:r>
        <w:rPr>
          <w:rFonts w:hint="eastAsia" w:ascii="微软雅黑" w:hAnsi="微软雅黑" w:cs="微软雅黑"/>
        </w:rPr>
        <w:t xml:space="preserve">  </w:t>
      </w:r>
      <w:bookmarkStart w:id="51" w:name="_Toc4940"/>
      <w:r>
        <w:rPr>
          <w:rFonts w:hint="eastAsia" w:ascii="微软雅黑" w:hAnsi="微软雅黑" w:cs="微软雅黑"/>
        </w:rPr>
        <w:t xml:space="preserve">供应商须知</w:t>
      </w:r>
      <w:bookmarkEnd w:id="1"/>
      <w:r/>
      <w:bookmarkEnd w:id="50"/>
      <w:r/>
      <w:bookmarkEnd w:id="51"/>
      <w:r>
        <w:rPr>
          <w:rFonts w:hint="eastAsia" w:ascii="微软雅黑" w:hAnsi="微软雅黑" w:cs="微软雅黑"/>
        </w:rPr>
      </w:r>
      <w:r/>
    </w:p>
    <w:p>
      <w:pPr>
        <w:pStyle w:val="1044"/>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44"/>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117" w:type="dxa"/>
            <w:vAlign w:val="center"/>
            <w:textDirection w:val="lrTb"/>
            <w:noWrap w:val="false"/>
          </w:tcPr>
          <w:p>
            <w:pPr>
              <w:pStyle w:val="1044"/>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南京医科大学江宁校区二期电力增容工程(南苑08栋公寓配套)</w:t>
            </w:r>
            <w:r>
              <w:rPr>
                <w:rFonts w:hint="eastAsia" w:ascii="微软雅黑" w:hAnsi="微软雅黑" w:cs="微软雅黑"/>
                <w:szCs w:val="21"/>
              </w:rPr>
            </w:r>
            <w:r/>
          </w:p>
        </w:tc>
      </w:tr>
      <w:tr>
        <w:trPr>
          <w:trHeight w:val="521"/>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1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JSZC-320000-JSHC-G2026-0008/JSHC-2026020076A2</w:t>
            </w:r>
            <w:r/>
            <w:r>
              <w:rPr>
                <w:rFonts w:hint="eastAsia" w:ascii="微软雅黑" w:hAnsi="微软雅黑" w:cs="微软雅黑"/>
                <w:szCs w:val="21"/>
                <w:lang w:eastAsia="zh-CN"/>
              </w:rPr>
            </w:r>
            <w:r>
              <w:rPr>
                <w:rFonts w:hint="eastAsia" w:ascii="微软雅黑" w:hAnsi="微软雅黑" w:eastAsia="微软雅黑" w:cs="微软雅黑"/>
                <w:szCs w:val="21"/>
                <w:lang w:eastAsia="zh-CN"/>
              </w:rPr>
            </w:r>
            <w:r/>
            <w:r>
              <w:rPr>
                <w:sz w:val="21"/>
              </w:rPr>
            </w:r>
          </w:p>
        </w:tc>
      </w:tr>
      <w:tr>
        <w:trPr>
          <w:trHeight w:val="521"/>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9"/>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预算金额</w:t>
            </w:r>
            <w:r>
              <w:rPr>
                <w:rFonts w:ascii="微软雅黑" w:hAnsi="微软雅黑" w:cs="微软雅黑"/>
                <w:color w:val="000000"/>
                <w:szCs w:val="21"/>
              </w:rPr>
            </w:r>
            <w:r/>
          </w:p>
        </w:tc>
        <w:tc>
          <w:tcPr>
            <w:tcW w:w="6117" w:type="dxa"/>
            <w:vAlign w:val="center"/>
            <w:textDirection w:val="lrTb"/>
            <w:noWrap w:val="false"/>
          </w:tcPr>
          <w:p>
            <w:pPr>
              <w:pStyle w:val="1044"/>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人民币</w:t>
            </w:r>
            <w:r>
              <w:rPr>
                <w:rFonts w:hint="eastAsia" w:ascii="微软雅黑" w:hAnsi="微软雅黑" w:cs="微软雅黑"/>
                <w:color w:val="000000"/>
                <w:szCs w:val="21"/>
                <w:lang w:val="en-US" w:eastAsia="zh-CN"/>
              </w:rPr>
              <w:t xml:space="preserve">陆佰伍拾万</w:t>
            </w:r>
            <w:r>
              <w:rPr>
                <w:rFonts w:hint="eastAsia" w:ascii="微软雅黑" w:hAnsi="微软雅黑" w:cs="微软雅黑"/>
                <w:color w:val="000000"/>
                <w:szCs w:val="21"/>
              </w:rPr>
              <w:t xml:space="preserve">元整</w:t>
            </w:r>
            <w:r>
              <w:rPr>
                <w:rFonts w:hint="eastAsia" w:ascii="微软雅黑" w:hAnsi="微软雅黑" w:cs="微软雅黑"/>
                <w:color w:val="000000"/>
                <w:szCs w:val="21"/>
                <w:lang w:val="en-US" w:eastAsia="zh-CN"/>
              </w:rPr>
              <w:t xml:space="preserve">  </w:t>
            </w:r>
            <w:r>
              <w:rPr>
                <w:rFonts w:hint="eastAsia" w:ascii="微软雅黑" w:hAnsi="微软雅黑" w:cs="微软雅黑"/>
                <w:color w:val="000000"/>
                <w:szCs w:val="21"/>
              </w:rPr>
              <w:t xml:space="preserve">（￥</w:t>
            </w:r>
            <w:r>
              <w:rPr>
                <w:rFonts w:hint="eastAsia" w:ascii="微软雅黑" w:hAnsi="微软雅黑" w:cs="微软雅黑"/>
                <w:color w:val="000000"/>
                <w:szCs w:val="21"/>
                <w:lang w:val="en-US" w:eastAsia="zh-CN"/>
              </w:rPr>
              <w:t xml:space="preserve">6500000</w:t>
            </w:r>
            <w:r>
              <w:rPr>
                <w:rFonts w:hint="eastAsia" w:ascii="微软雅黑" w:hAnsi="微软雅黑" w:cs="微软雅黑"/>
                <w:color w:val="000000"/>
                <w:szCs w:val="21"/>
              </w:rPr>
              <w:t xml:space="preserve">元整）</w:t>
            </w:r>
            <w:r>
              <w:rPr>
                <w:rFonts w:hint="eastAsia" w:ascii="微软雅黑" w:hAnsi="微软雅黑" w:cs="微软雅黑"/>
                <w:color w:val="000000"/>
                <w:szCs w:val="21"/>
              </w:rPr>
            </w:r>
            <w:r/>
          </w:p>
        </w:tc>
      </w:tr>
      <w:tr>
        <w:trPr>
          <w:trHeight w:val="589"/>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最高限价</w:t>
            </w:r>
            <w:r>
              <w:rPr>
                <w:rFonts w:ascii="微软雅黑" w:hAnsi="微软雅黑" w:cs="微软雅黑"/>
                <w:color w:val="000000"/>
                <w:szCs w:val="21"/>
              </w:rPr>
            </w:r>
            <w:r/>
          </w:p>
        </w:tc>
        <w:tc>
          <w:tcPr>
            <w:tcW w:w="6117" w:type="dxa"/>
            <w:vAlign w:val="center"/>
            <w:textDirection w:val="lrTb"/>
            <w:noWrap w:val="false"/>
          </w:tcPr>
          <w:p>
            <w:pPr>
              <w:pStyle w:val="1044"/>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人民币</w:t>
            </w:r>
            <w:r>
              <w:rPr>
                <w:rFonts w:hint="eastAsia" w:ascii="微软雅黑" w:hAnsi="微软雅黑" w:cs="微软雅黑"/>
                <w:color w:val="000000"/>
                <w:szCs w:val="21"/>
                <w:lang w:val="en-US" w:eastAsia="zh-CN"/>
              </w:rPr>
              <w:t xml:space="preserve">肆佰壹拾贰万</w:t>
            </w:r>
            <w:r>
              <w:rPr>
                <w:rFonts w:hint="eastAsia" w:ascii="微软雅黑" w:hAnsi="微软雅黑" w:cs="微软雅黑"/>
                <w:color w:val="000000"/>
                <w:szCs w:val="21"/>
              </w:rPr>
              <w:t xml:space="preserve">元整（￥</w:t>
            </w:r>
            <w:r>
              <w:rPr>
                <w:rFonts w:hint="eastAsia" w:ascii="微软雅黑" w:hAnsi="微软雅黑" w:cs="微软雅黑"/>
                <w:color w:val="000000"/>
                <w:szCs w:val="21"/>
                <w:lang w:val="en-US" w:eastAsia="zh-CN"/>
              </w:rPr>
              <w:t xml:space="preserve">4120000</w:t>
            </w:r>
            <w:r>
              <w:rPr>
                <w:rFonts w:hint="eastAsia" w:ascii="微软雅黑" w:hAnsi="微软雅黑" w:cs="微软雅黑"/>
                <w:color w:val="000000"/>
                <w:szCs w:val="21"/>
              </w:rPr>
              <w:t xml:space="preserve">元整）</w:t>
            </w:r>
            <w:r>
              <w:rPr>
                <w:rFonts w:hint="eastAsia" w:ascii="微软雅黑" w:hAnsi="微软雅黑" w:cs="微软雅黑"/>
                <w:color w:val="000000"/>
                <w:szCs w:val="21"/>
              </w:rPr>
            </w:r>
            <w:r/>
          </w:p>
        </w:tc>
      </w:tr>
      <w:tr>
        <w:trPr>
          <w:trHeight w:val="589"/>
        </w:trPr>
        <w:tc>
          <w:tcPr>
            <w:tcW w:w="650" w:type="dxa"/>
            <w:vAlign w:val="center"/>
            <w:textDirection w:val="lrTb"/>
            <w:noWrap w:val="false"/>
          </w:tcPr>
          <w:p>
            <w:pPr>
              <w:pStyle w:val="1044"/>
              <w:jc w:val="center"/>
              <w:spacing w:line="440" w:lineRule="exact"/>
              <w:rPr>
                <w:rFonts w:hint="eastAsia" w:ascii="微软雅黑" w:hAnsi="微软雅黑" w:cs="微软雅黑"/>
              </w:rPr>
            </w:pPr>
            <w:r>
              <w:rPr>
                <w:rFonts w:hint="eastAsia" w:ascii="微软雅黑" w:hAnsi="微软雅黑" w:cs="微软雅黑"/>
              </w:rPr>
              <w:t xml:space="preserve">6</w:t>
            </w:r>
            <w:r>
              <w:rPr>
                <w:rFonts w:hint="eastAsia" w:ascii="微软雅黑" w:hAnsi="微软雅黑" w:cs="微软雅黑"/>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Style w:val="1217"/>
                <w:rFonts w:hint="eastAsia" w:ascii="微软雅黑" w:hAnsi="微软雅黑" w:eastAsia="微软雅黑" w:cs="微软雅黑"/>
                <w:szCs w:val="21"/>
              </w:rPr>
              <w:t xml:space="preserve">工期要求</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合同签订后75个日历天（开工日期以招标人通知为准）</w:t>
            </w:r>
            <w:r>
              <w:rPr>
                <w:rFonts w:hint="eastAsia" w:ascii="微软雅黑" w:hAnsi="微软雅黑" w:cs="微软雅黑"/>
                <w:szCs w:val="21"/>
              </w:rPr>
            </w:r>
            <w:r/>
          </w:p>
        </w:tc>
      </w:tr>
      <w:tr>
        <w:trPr>
          <w:trHeight w:val="90"/>
        </w:trPr>
        <w:tc>
          <w:tcPr>
            <w:tcW w:w="650" w:type="dxa"/>
            <w:vAlign w:val="center"/>
            <w:textDirection w:val="lrTb"/>
            <w:noWrap w:val="false"/>
          </w:tcPr>
          <w:p>
            <w:pPr>
              <w:pStyle w:val="1044"/>
              <w:jc w:val="center"/>
              <w:spacing w:line="440" w:lineRule="exact"/>
              <w:rPr>
                <w:rFonts w:hint="eastAsia" w:ascii="微软雅黑" w:hAnsi="微软雅黑" w:cs="微软雅黑"/>
              </w:rPr>
            </w:pPr>
            <w:r>
              <w:rPr>
                <w:rFonts w:hint="eastAsia" w:ascii="微软雅黑" w:hAnsi="微软雅黑" w:cs="微软雅黑"/>
              </w:rPr>
              <w:t xml:space="preserve">7</w:t>
            </w:r>
            <w:r>
              <w:rPr>
                <w:rFonts w:hint="eastAsia" w:ascii="微软雅黑" w:hAnsi="微软雅黑" w:cs="微软雅黑"/>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Style w:val="1217"/>
                <w:rFonts w:hint="eastAsia" w:ascii="微软雅黑" w:hAnsi="微软雅黑" w:eastAsia="微软雅黑" w:cs="微软雅黑"/>
                <w:szCs w:val="21"/>
              </w:rPr>
              <w:t xml:space="preserve">承包方式</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包工包料、且包工期、包质量、包安全、包施工全部风险、包验收合格。合同分部分项单位价款不随材料市场价格波动、工资、物价、费率或汇率的变动或政府颁发的任何调价文件而发生变化,工程量按实计算。</w:t>
            </w:r>
            <w:r>
              <w:rPr>
                <w:rFonts w:hint="eastAsia" w:ascii="微软雅黑" w:hAnsi="微软雅黑" w:cs="微软雅黑"/>
                <w:szCs w:val="21"/>
              </w:rPr>
            </w:r>
            <w:r/>
          </w:p>
        </w:tc>
      </w:tr>
      <w:tr>
        <w:trPr>
          <w:trHeight w:val="589"/>
        </w:trPr>
        <w:tc>
          <w:tcPr>
            <w:tcW w:w="650" w:type="dxa"/>
            <w:vAlign w:val="center"/>
            <w:textDirection w:val="lrTb"/>
            <w:noWrap w:val="false"/>
          </w:tcPr>
          <w:p>
            <w:pPr>
              <w:pStyle w:val="1044"/>
              <w:jc w:val="center"/>
              <w:spacing w:line="440" w:lineRule="exact"/>
              <w:rPr>
                <w:rFonts w:hint="eastAsia" w:ascii="微软雅黑" w:hAnsi="微软雅黑" w:cs="微软雅黑"/>
              </w:rPr>
            </w:pPr>
            <w:r>
              <w:rPr>
                <w:rFonts w:hint="eastAsia" w:ascii="微软雅黑" w:hAnsi="微软雅黑" w:cs="微软雅黑"/>
              </w:rPr>
              <w:t xml:space="preserve">8</w:t>
            </w:r>
            <w:r>
              <w:rPr>
                <w:rFonts w:hint="eastAsia" w:ascii="微软雅黑" w:hAnsi="微软雅黑" w:cs="微软雅黑"/>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Style w:val="1217"/>
                <w:rFonts w:hint="eastAsia" w:ascii="微软雅黑" w:hAnsi="微软雅黑" w:eastAsia="微软雅黑" w:cs="微软雅黑"/>
                <w:szCs w:val="21"/>
              </w:rPr>
              <w:t xml:space="preserve">质量要求</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符合现行国家最新质量验收标准</w:t>
            </w:r>
            <w:r>
              <w:rPr>
                <w:rFonts w:hint="eastAsia" w:ascii="微软雅黑" w:hAnsi="微软雅黑" w:eastAsia="微软雅黑" w:cs="微软雅黑"/>
                <w:szCs w:val="21"/>
                <w:lang w:eastAsia="zh-CN"/>
              </w:rPr>
            </w:r>
            <w:r/>
          </w:p>
        </w:tc>
      </w:tr>
      <w:tr>
        <w:trPr>
          <w:trHeight w:val="533"/>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rHeight w:val="1269"/>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单位名称：南京医科大学</w:t>
            </w:r>
            <w:r>
              <w:rPr>
                <w:rFonts w:hint="eastAsia" w:ascii="微软雅黑" w:hAnsi="微软雅黑" w:cs="微软雅黑"/>
                <w:szCs w:val="21"/>
              </w:rPr>
            </w:r>
            <w:r/>
          </w:p>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联系人：尚老师                   </w:t>
            </w:r>
            <w:r>
              <w:rPr>
                <w:rFonts w:hint="eastAsia" w:ascii="微软雅黑" w:hAnsi="微软雅黑" w:cs="微软雅黑"/>
                <w:szCs w:val="21"/>
              </w:rPr>
            </w:r>
            <w:r/>
          </w:p>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联系电话：025-</w:t>
            </w:r>
            <w:r>
              <w:rPr>
                <w:rFonts w:hint="eastAsia" w:ascii="微软雅黑" w:hAnsi="微软雅黑" w:cs="微软雅黑"/>
                <w:bCs/>
                <w:szCs w:val="21"/>
              </w:rPr>
              <w:t xml:space="preserve">86869249</w:t>
            </w:r>
            <w:r>
              <w:rPr>
                <w:rFonts w:hint="eastAsia" w:ascii="微软雅黑" w:hAnsi="微软雅黑" w:cs="微软雅黑"/>
                <w:szCs w:val="21"/>
              </w:rPr>
            </w:r>
            <w:r/>
          </w:p>
        </w:tc>
      </w:tr>
      <w:tr>
        <w:trPr>
          <w:trHeight w:val="1303"/>
        </w:trPr>
        <w:tc>
          <w:tcPr>
            <w:tcW w:w="650"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11</w:t>
            </w:r>
            <w:r>
              <w:rPr>
                <w:rFonts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项目负责人：张婷</w:t>
            </w:r>
            <w:r>
              <w:rPr>
                <w:rFonts w:hint="eastAsia" w:ascii="微软雅黑" w:hAnsi="微软雅黑" w:cs="微软雅黑"/>
                <w:szCs w:val="21"/>
                <w:lang w:val="en-US" w:eastAsia="zh-CN"/>
              </w:rPr>
              <w:t xml:space="preserve">/孔新淇</w:t>
            </w:r>
            <w:r>
              <w:rPr>
                <w:rFonts w:hint="eastAsia" w:ascii="微软雅黑" w:hAnsi="微软雅黑" w:cs="微软雅黑"/>
                <w:szCs w:val="21"/>
              </w:rPr>
              <w:t xml:space="preserve">        </w:t>
            </w:r>
            <w:r>
              <w:rPr>
                <w:rFonts w:hint="eastAsia" w:ascii="微软雅黑" w:hAnsi="微软雅黑" w:cs="微软雅黑"/>
                <w:szCs w:val="21"/>
              </w:rPr>
            </w:r>
            <w:r/>
          </w:p>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联系电话：025-83603378</w:t>
            </w:r>
            <w:r>
              <w:rPr>
                <w:rFonts w:hint="eastAsia" w:ascii="微软雅黑" w:hAnsi="微软雅黑" w:cs="微软雅黑"/>
                <w:szCs w:val="21"/>
              </w:rPr>
            </w:r>
            <w:r/>
          </w:p>
        </w:tc>
      </w:tr>
      <w:tr>
        <w:trPr>
          <w:trHeight w:val="459"/>
        </w:trPr>
        <w:tc>
          <w:tcPr>
            <w:tcW w:w="650"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12</w:t>
            </w:r>
            <w:r>
              <w:rPr>
                <w:rFonts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本项目不收取投标保证金</w:t>
            </w:r>
            <w:r>
              <w:rPr>
                <w:rFonts w:hint="eastAsia" w:ascii="微软雅黑" w:hAnsi="微软雅黑" w:cs="微软雅黑"/>
                <w:szCs w:val="21"/>
              </w:rPr>
            </w:r>
            <w:r/>
          </w:p>
        </w:tc>
      </w:tr>
      <w:tr>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本项目不组织集中现场勘查。</w:t>
            </w:r>
            <w:r>
              <w:rPr>
                <w:rFonts w:hint="eastAsia" w:ascii="微软雅黑" w:hAnsi="微软雅黑" w:cs="微软雅黑"/>
                <w:szCs w:val="21"/>
              </w:rPr>
            </w:r>
            <w:r/>
          </w:p>
          <w:p>
            <w:pPr>
              <w:pStyle w:val="1044"/>
              <w:ind w:firstLine="420"/>
              <w:spacing w:line="400" w:lineRule="exact"/>
              <w:rPr>
                <w:rFonts w:hint="eastAsia"/>
              </w:rPr>
            </w:pPr>
            <w:r>
              <w:rPr>
                <w:rFonts w:hint="eastAsia" w:ascii="微软雅黑" w:hAnsi="微软雅黑" w:cs="微软雅黑"/>
                <w:szCs w:val="21"/>
              </w:rPr>
              <w:t xml:space="preserve">各潜在供应商可自行前往勘查现场，请务必对项目现场和周围环境进行仔细认真地查勘，在随后的采购中，对现场资料和数据所作出的推论、解释和结论及由此造成的后果由供应商负责（未现场勘查和未提出疑义的投标人将被视为已勘查，认同招标项目要求的内容，因未勘查现场或勘查工作不详细的供应商中标后，不得以不完全了解现场情况为理由而向采购人提出任何索赔或其他要求，对此采购人不承担任何责任并将不作任何答复），供应商自行承担由于勘查现场产生的一切费用。</w:t>
            </w:r>
            <w:r>
              <w:rPr>
                <w:rFonts w:hint="eastAsia"/>
              </w:rPr>
            </w:r>
            <w:r/>
          </w:p>
        </w:tc>
      </w:tr>
      <w:tr>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tcW w:w="1755" w:type="dxa"/>
            <w:vAlign w:val="center"/>
            <w:textDirection w:val="lrTb"/>
            <w:noWrap w:val="false"/>
          </w:tcPr>
          <w:p>
            <w:pPr>
              <w:pStyle w:val="1044"/>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117"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投标文件数量</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sz w:val="22"/>
              </w:rPr>
            </w:pPr>
            <w:r>
              <w:rPr>
                <w:rFonts w:hint="eastAsia" w:ascii="微软雅黑" w:hAnsi="微软雅黑" w:cs="微软雅黑"/>
                <w:sz w:val="22"/>
              </w:rPr>
              <w:t xml:space="preserve">正本份数：1份</w:t>
            </w:r>
            <w:r>
              <w:rPr>
                <w:rFonts w:hint="eastAsia" w:ascii="微软雅黑" w:hAnsi="微软雅黑" w:cs="微软雅黑"/>
                <w:sz w:val="22"/>
              </w:rPr>
            </w:r>
            <w:r/>
          </w:p>
          <w:p>
            <w:pPr>
              <w:pStyle w:val="1044"/>
              <w:spacing w:line="400" w:lineRule="exact"/>
              <w:rPr>
                <w:rFonts w:hint="eastAsia" w:ascii="微软雅黑" w:hAnsi="微软雅黑" w:cs="微软雅黑"/>
                <w:sz w:val="22"/>
              </w:rPr>
            </w:pPr>
            <w:r>
              <w:rPr>
                <w:rFonts w:hint="eastAsia" w:ascii="微软雅黑" w:hAnsi="微软雅黑" w:cs="微软雅黑"/>
                <w:sz w:val="22"/>
              </w:rPr>
              <w:t xml:space="preserve">副本份数：4份</w:t>
            </w:r>
            <w:r>
              <w:rPr>
                <w:rFonts w:hint="eastAsia" w:ascii="微软雅黑" w:hAnsi="微软雅黑" w:cs="微软雅黑"/>
                <w:sz w:val="22"/>
              </w:rPr>
            </w:r>
            <w:r/>
          </w:p>
          <w:p>
            <w:pPr>
              <w:pStyle w:val="1044"/>
              <w:spacing w:line="400" w:lineRule="exact"/>
              <w:rPr>
                <w:rFonts w:hint="eastAsia" w:ascii="微软雅黑" w:hAnsi="微软雅黑" w:cs="微软雅黑"/>
                <w:sz w:val="22"/>
              </w:rPr>
            </w:pPr>
            <w:r>
              <w:rPr>
                <w:rFonts w:hint="eastAsia" w:ascii="微软雅黑" w:hAnsi="微软雅黑" w:cs="微软雅黑"/>
                <w:sz w:val="22"/>
              </w:rPr>
              <w:t xml:space="preserve">电子文件：1份（U盘）一般应为 PDF 格式（单独密封或 </w:t>
            </w:r>
            <w:r>
              <w:rPr>
                <w:rFonts w:hint="eastAsia" w:ascii="微软雅黑" w:hAnsi="微软雅黑" w:cs="微软雅黑"/>
                <w:sz w:val="22"/>
              </w:rPr>
            </w:r>
            <w:r/>
          </w:p>
          <w:p>
            <w:pPr>
              <w:pStyle w:val="1044"/>
              <w:spacing w:line="400" w:lineRule="exact"/>
              <w:rPr>
                <w:rFonts w:hint="eastAsia" w:ascii="微软雅黑" w:hAnsi="微软雅黑" w:cs="微软雅黑"/>
                <w:sz w:val="22"/>
              </w:rPr>
            </w:pPr>
            <w:r>
              <w:rPr>
                <w:rFonts w:hint="eastAsia" w:ascii="微软雅黑" w:hAnsi="微软雅黑" w:cs="微软雅黑"/>
                <w:sz w:val="22"/>
              </w:rPr>
              <w:t xml:space="preserve">与纸质正本一并密封）。</w:t>
            </w:r>
            <w:r>
              <w:rPr>
                <w:rFonts w:hint="eastAsia" w:ascii="微软雅黑" w:hAnsi="微软雅黑" w:cs="微软雅黑"/>
                <w:sz w:val="22"/>
              </w:rPr>
            </w:r>
            <w:r/>
          </w:p>
        </w:tc>
      </w:tr>
      <w:tr>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开标注意事项</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ascii="微软雅黑" w:hAnsi="微软雅黑" w:cs="微软雅黑"/>
              </w:rPr>
            </w:pPr>
            <w:r>
              <w:rPr>
                <w:rFonts w:hint="eastAsia" w:ascii="微软雅黑" w:hAnsi="微软雅黑" w:cs="微软雅黑"/>
              </w:rPr>
              <w:t xml:space="preserve">1、供应商授权代表在投标截止时间前到达开标地点。</w:t>
            </w:r>
            <w:r>
              <w:rPr>
                <w:rFonts w:ascii="微软雅黑" w:hAnsi="微软雅黑" w:cs="微软雅黑"/>
              </w:rPr>
            </w:r>
            <w:r/>
          </w:p>
          <w:p>
            <w:pPr>
              <w:pStyle w:val="1044"/>
              <w:spacing w:line="400" w:lineRule="exact"/>
              <w:rPr>
                <w:rFonts w:ascii="微软雅黑" w:hAnsi="微软雅黑" w:cs="微软雅黑"/>
              </w:rPr>
            </w:pPr>
            <w:r>
              <w:rPr>
                <w:rFonts w:hint="eastAsia" w:ascii="微软雅黑" w:hAnsi="微软雅黑" w:cs="微软雅黑"/>
              </w:rPr>
              <w:t xml:space="preserve">2、供应商授权代表持《法人授权委托书》原件和身份证原件到签到处验证合格后办理签到手续，并递交投标文件。</w:t>
            </w:r>
            <w:r>
              <w:rPr>
                <w:rFonts w:ascii="微软雅黑" w:hAnsi="微软雅黑" w:cs="微软雅黑"/>
              </w:rPr>
            </w:r>
            <w:r/>
          </w:p>
          <w:p>
            <w:pPr>
              <w:pStyle w:val="1044"/>
              <w:spacing w:line="400" w:lineRule="exact"/>
              <w:rPr>
                <w:rFonts w:hint="eastAsia" w:ascii="微软雅黑" w:hAnsi="微软雅黑" w:cs="微软雅黑"/>
                <w:szCs w:val="21"/>
              </w:rPr>
            </w:pPr>
            <w:r>
              <w:rPr>
                <w:rFonts w:hint="eastAsia" w:ascii="微软雅黑" w:hAnsi="微软雅黑" w:cs="微软雅黑"/>
              </w:rPr>
              <w:t xml:space="preserve">3、采购代理机构开标、唱标。投标人未参加开标的，视同认可开标结果。</w:t>
            </w:r>
            <w:r>
              <w:rPr>
                <w:rFonts w:hint="eastAsia" w:ascii="微软雅黑" w:hAnsi="微软雅黑" w:cs="微软雅黑"/>
                <w:szCs w:val="21"/>
              </w:rPr>
            </w:r>
            <w:r/>
          </w:p>
        </w:tc>
      </w:tr>
      <w:tr>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299"/>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18</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rPr>
            </w:pPr>
            <w:r>
              <w:rPr>
                <w:rFonts w:hint="eastAsia" w:ascii="微软雅黑" w:hAnsi="微软雅黑" w:cs="微软雅黑"/>
                <w:szCs w:val="21"/>
              </w:rPr>
              <w:t xml:space="preserve">投标报价包括采购文件所规定的采购范围的全部内容。</w:t>
            </w:r>
            <w:r>
              <w:rPr>
                <w:rFonts w:hint="eastAsia"/>
              </w:rPr>
            </w:r>
            <w:r/>
          </w:p>
        </w:tc>
      </w:tr>
      <w:tr>
        <w:trPr>
          <w:trHeight w:val="90"/>
        </w:trPr>
        <w:tc>
          <w:tcPr>
            <w:tcW w:w="650"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19</w:t>
            </w:r>
            <w:r>
              <w:rPr>
                <w:rFonts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采购标的对应的 中小企业划分标准所属行业</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szCs w:val="21"/>
              </w:rPr>
            </w:pPr>
            <w:r>
              <w:rPr>
                <w:rFonts w:hint="eastAsia" w:ascii="微软雅黑" w:hAnsi="微软雅黑" w:cs="微软雅黑"/>
                <w:szCs w:val="21"/>
              </w:rPr>
              <w:t xml:space="preserve">建筑业</w:t>
            </w:r>
            <w:r>
              <w:rPr>
                <w:rFonts w:hint="eastAsia" w:ascii="微软雅黑" w:hAnsi="微软雅黑" w:cs="微软雅黑"/>
                <w:szCs w:val="21"/>
              </w:rPr>
            </w:r>
            <w:r/>
          </w:p>
        </w:tc>
      </w:tr>
      <w:tr>
        <w:trPr>
          <w:trHeight w:val="90"/>
        </w:trPr>
        <w:tc>
          <w:tcPr>
            <w:tcW w:w="650"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20</w:t>
            </w:r>
            <w:r>
              <w:rPr>
                <w:rFonts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117"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rPr>
            </w:pPr>
            <w:r>
              <w:rPr>
                <w:rFonts w:hint="eastAsia" w:ascii="微软雅黑" w:hAnsi="微软雅黑" w:cs="微软雅黑"/>
              </w:rPr>
              <w:t xml:space="preserve">本次招标的代理服务费由采购方根据代理合同支付给采购代理机构。</w:t>
            </w:r>
            <w:r>
              <w:rPr>
                <w:rFonts w:hint="eastAsia" w:ascii="微软雅黑" w:hAnsi="微软雅黑" w:cs="微软雅黑"/>
              </w:rPr>
            </w:r>
            <w:r/>
          </w:p>
        </w:tc>
      </w:tr>
      <w:tr>
        <w:trPr>
          <w:trHeight w:val="90"/>
        </w:trPr>
        <w:tc>
          <w:tcPr>
            <w:tcW w:w="65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23</w:t>
            </w:r>
            <w:r>
              <w:rPr>
                <w:rFonts w:hint="eastAsia" w:ascii="微软雅黑" w:hAnsi="微软雅黑" w:cs="微软雅黑"/>
                <w:szCs w:val="21"/>
              </w:rPr>
            </w:r>
            <w:r/>
          </w:p>
        </w:tc>
        <w:tc>
          <w:tcPr>
            <w:tcW w:w="1755"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117" w:type="dxa"/>
            <w:vAlign w:val="center"/>
            <w:textDirection w:val="lrTb"/>
            <w:noWrap w:val="false"/>
          </w:tcPr>
          <w:p>
            <w:pPr>
              <w:pStyle w:val="1044"/>
              <w:spacing w:line="400" w:lineRule="exact"/>
              <w:rPr>
                <w:rFonts w:hint="eastAsia" w:ascii="微软雅黑" w:hAnsi="微软雅黑" w:cs="微软雅黑"/>
              </w:rPr>
            </w:pPr>
            <w:r>
              <w:rPr>
                <w:rFonts w:hint="eastAsia" w:ascii="微软雅黑" w:hAnsi="微软雅黑" w:cs="微软雅黑"/>
              </w:rPr>
              <w:t xml:space="preserve">有关本次招标的事项若存在变动或修改</w:t>
            </w:r>
            <w:r>
              <w:rPr>
                <w:rFonts w:hint="eastAsia" w:ascii="微软雅黑" w:hAnsi="微软雅黑" w:cs="微软雅黑"/>
                <w:color w:val="000000"/>
              </w:rPr>
              <w:t xml:space="preserve">，敬请及时关注江苏政府采购网（www.ccgp-jiangsu.gov.cn）发</w:t>
            </w:r>
            <w:r>
              <w:rPr>
                <w:rFonts w:hint="eastAsia" w:ascii="微软雅黑" w:hAnsi="微软雅黑" w:cs="微软雅黑"/>
              </w:rPr>
              <w:t xml:space="preserve">布的信息更正公告。</w:t>
            </w:r>
            <w:r>
              <w:rPr>
                <w:rFonts w:hint="eastAsia" w:ascii="微软雅黑" w:hAnsi="微软雅黑" w:cs="微软雅黑"/>
              </w:rPr>
            </w:r>
            <w:r/>
          </w:p>
        </w:tc>
      </w:tr>
    </w:tbl>
    <w:p>
      <w:pPr>
        <w:pStyle w:val="1044"/>
        <w:rPr>
          <w:rFonts w:hint="eastAsia" w:ascii="微软雅黑" w:hAnsi="微软雅黑" w:cs="微软雅黑"/>
        </w:rPr>
      </w:pPr>
      <w:r>
        <w:rPr>
          <w:rFonts w:hint="eastAsia" w:ascii="微软雅黑" w:hAnsi="微软雅黑" w:cs="微软雅黑"/>
        </w:rPr>
      </w:r>
      <w:r/>
    </w:p>
    <w:p>
      <w:pPr>
        <w:pStyle w:val="1046"/>
        <w:rPr>
          <w:rFonts w:hint="eastAsia" w:ascii="微软雅黑" w:hAnsi="微软雅黑" w:cs="微软雅黑"/>
        </w:rPr>
      </w:pPr>
      <w:r/>
      <w:bookmarkStart w:id="52" w:name="_Toc4078"/>
      <w:r/>
      <w:bookmarkStart w:id="53" w:name="_Toc452384170"/>
      <w:r/>
      <w:bookmarkStart w:id="54" w:name="_Toc32426"/>
      <w:r>
        <w:rPr>
          <w:rFonts w:hint="eastAsia" w:ascii="微软雅黑" w:hAnsi="微软雅黑" w:cs="微软雅黑"/>
        </w:rPr>
        <w:t xml:space="preserve">一、总则</w:t>
      </w:r>
      <w:bookmarkEnd w:id="52"/>
      <w:r/>
      <w:bookmarkEnd w:id="53"/>
      <w:r/>
      <w:bookmarkEnd w:id="54"/>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55" w:name="_Toc452384171"/>
      <w:r/>
      <w:bookmarkStart w:id="56" w:name="_Toc24576"/>
      <w:r>
        <w:rPr>
          <w:rFonts w:hint="eastAsia" w:ascii="微软雅黑" w:hAnsi="微软雅黑" w:cs="微软雅黑"/>
          <w:b/>
          <w:bCs w:val="0"/>
          <w:sz w:val="24"/>
          <w:szCs w:val="24"/>
        </w:rPr>
        <w:t xml:space="preserve">1.1 适用范围</w:t>
      </w:r>
      <w:bookmarkEnd w:id="55"/>
      <w:r/>
      <w:bookmarkEnd w:id="56"/>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1.1.1 本采购文件仅适用于江苏省华采招标有限公司（以下简称采购代理机构）组织的采购活动。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1.1.2 采购人指</w:t>
      </w:r>
      <w:r>
        <w:rPr>
          <w:rFonts w:hint="eastAsia" w:ascii="微软雅黑" w:hAnsi="微软雅黑" w:cs="微软雅黑"/>
          <w:b/>
          <w:bCs/>
        </w:rPr>
        <w:t xml:space="preserve">南京医科大学</w:t>
      </w:r>
      <w:r>
        <w:rPr>
          <w:rFonts w:hint="eastAsia" w:ascii="微软雅黑" w:hAnsi="微软雅黑" w:cs="微软雅黑"/>
        </w:rPr>
        <w:t xml:space="preserve">。</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57" w:name="_Toc452384172"/>
      <w:r/>
      <w:bookmarkStart w:id="58" w:name="_Toc8540"/>
      <w:r>
        <w:rPr>
          <w:rFonts w:hint="eastAsia" w:ascii="微软雅黑" w:hAnsi="微软雅黑" w:cs="微软雅黑"/>
          <w:b/>
          <w:bCs w:val="0"/>
          <w:sz w:val="24"/>
          <w:szCs w:val="24"/>
        </w:rPr>
        <w:t xml:space="preserve">1.2 合格的</w:t>
      </w:r>
      <w:bookmarkEnd w:id="57"/>
      <w:r>
        <w:rPr>
          <w:rFonts w:hint="eastAsia" w:ascii="微软雅黑" w:hAnsi="微软雅黑" w:cs="微软雅黑"/>
          <w:b/>
          <w:bCs w:val="0"/>
          <w:sz w:val="24"/>
          <w:szCs w:val="24"/>
        </w:rPr>
        <w:t xml:space="preserve">供应商</w:t>
      </w:r>
      <w:bookmarkEnd w:id="58"/>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1.2.1 凡有能力按照本采购文件规定的要求提供工程、货物或者服务，并符合采购文件第一章 “申请人的资格要求”的投标单位均可成为合格的供应商。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1.2.2 供应商参加本次采购活动应当符合本采购文件的规定。</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1.2.3 供应商应参照《中华人民共和国政府采购法》、《中华人民共和国政府采购法实施条例》、《中华人民共和国民法典》和《反不正当竞争法》等有关法律、法规，如有违反将视为不合格供应商，其投标文件无效。</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1.2.4 联合体投标</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 </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hint="eastAsia" w:ascii="微软雅黑" w:hAnsi="微软雅黑" w:cs="微软雅黑"/>
        </w:rPr>
      </w:r>
      <w:r/>
    </w:p>
    <w:p>
      <w:pPr>
        <w:pStyle w:val="1044"/>
        <w:spacing w:line="440" w:lineRule="exact"/>
        <w:rPr>
          <w:rFonts w:hint="eastAsia" w:ascii="微软雅黑" w:hAnsi="微软雅黑" w:cs="微软雅黑"/>
          <w:b/>
          <w:i/>
          <w:u w:val="single"/>
        </w:rPr>
      </w:pPr>
      <w:r>
        <w:rPr>
          <w:rFonts w:hint="eastAsia" w:ascii="微软雅黑" w:hAnsi="微软雅黑" w:cs="微软雅黑"/>
        </w:rPr>
        <w:t xml:space="preserve">1.2.5 无论采购文件是否提及，投标供应商所递交的投标文件中所有内容均应是真实有效的；</w:t>
      </w:r>
      <w:r>
        <w:rPr>
          <w:rFonts w:hint="eastAsia" w:ascii="微软雅黑" w:hAnsi="微软雅黑" w:cs="微软雅黑"/>
          <w:b/>
          <w:i/>
          <w:u w:val="single"/>
        </w:rPr>
        <w:t xml:space="preserve">供应商所提供的工程、货物或者服务，必须满足国家相关强制性规定要求，否则，将视为不合格供应商，其投标文件无效。</w:t>
      </w:r>
      <w:r>
        <w:rPr>
          <w:rFonts w:hint="eastAsia" w:ascii="微软雅黑" w:hAnsi="微软雅黑" w:cs="微软雅黑"/>
          <w:b/>
          <w:i/>
          <w:u w:val="single"/>
        </w:rPr>
      </w:r>
      <w:r/>
    </w:p>
    <w:p>
      <w:pPr>
        <w:pStyle w:val="1047"/>
        <w:jc w:val="left"/>
        <w:rPr>
          <w:rFonts w:hint="eastAsia" w:ascii="微软雅黑" w:hAnsi="微软雅黑" w:cs="微软雅黑"/>
          <w:b/>
          <w:bCs w:val="0"/>
          <w:sz w:val="24"/>
          <w:szCs w:val="24"/>
        </w:rPr>
      </w:pPr>
      <w:r/>
      <w:bookmarkStart w:id="59" w:name="_Toc403671109"/>
      <w:r/>
      <w:bookmarkStart w:id="60" w:name="_Toc452384173"/>
      <w:r/>
      <w:bookmarkStart w:id="61" w:name="_Toc32282"/>
      <w:r>
        <w:rPr>
          <w:rFonts w:hint="eastAsia" w:ascii="微软雅黑" w:hAnsi="微软雅黑" w:cs="微软雅黑"/>
          <w:b/>
          <w:bCs w:val="0"/>
          <w:sz w:val="24"/>
          <w:szCs w:val="24"/>
        </w:rPr>
        <w:t xml:space="preserve">1.3 </w:t>
      </w:r>
      <w:bookmarkEnd w:id="59"/>
      <w:r>
        <w:rPr>
          <w:rFonts w:hint="eastAsia" w:ascii="微软雅黑" w:hAnsi="微软雅黑" w:cs="微软雅黑"/>
          <w:b/>
          <w:bCs w:val="0"/>
          <w:sz w:val="24"/>
          <w:szCs w:val="24"/>
        </w:rPr>
        <w:t xml:space="preserve">参加采购活动费用</w:t>
      </w:r>
      <w:bookmarkEnd w:id="60"/>
      <w:r/>
      <w:bookmarkEnd w:id="61"/>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1.3.1 无论采购活动过程中的做法和结果如何，供应商自行承担与参加采购活动有关的全部费用。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1.3.2 有关费用的收取标准，详见供应商须知前附表。</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62" w:name="_Toc452384174"/>
      <w:r/>
      <w:bookmarkStart w:id="63" w:name="_Toc21149"/>
      <w:r>
        <w:rPr>
          <w:rFonts w:hint="eastAsia" w:ascii="微软雅黑" w:hAnsi="微软雅黑" w:cs="微软雅黑"/>
          <w:b/>
          <w:bCs w:val="0"/>
          <w:sz w:val="24"/>
          <w:szCs w:val="24"/>
        </w:rPr>
        <w:t xml:space="preserve">1.4 法律适用</w:t>
      </w:r>
      <w:bookmarkEnd w:id="62"/>
      <w:r/>
      <w:bookmarkEnd w:id="63"/>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本次采购活动及其产生的合同适用中华人民共和国法律。</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64" w:name="_Toc452384175"/>
      <w:r/>
      <w:bookmarkStart w:id="65" w:name="_Toc27985"/>
      <w:r>
        <w:rPr>
          <w:rFonts w:hint="eastAsia" w:ascii="微软雅黑" w:hAnsi="微软雅黑" w:cs="微软雅黑"/>
          <w:b/>
          <w:bCs w:val="0"/>
          <w:sz w:val="24"/>
          <w:szCs w:val="24"/>
        </w:rPr>
        <w:t xml:space="preserve">1.5 采购文件的约束力</w:t>
      </w:r>
      <w:bookmarkEnd w:id="64"/>
      <w:r/>
      <w:bookmarkEnd w:id="65"/>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1.5.1 供应商一旦参加本次采购活动，即被认为接受了本采购文件中的所有条款和规定。</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1.5.2 本采购文件由采购代理机构负责解释。</w:t>
      </w:r>
      <w:r>
        <w:rPr>
          <w:rFonts w:hint="eastAsia" w:ascii="微软雅黑" w:hAnsi="微软雅黑" w:cs="微软雅黑"/>
        </w:rPr>
      </w:r>
      <w:r/>
    </w:p>
    <w:p>
      <w:pPr>
        <w:pStyle w:val="1046"/>
        <w:rPr>
          <w:rFonts w:hint="eastAsia" w:ascii="微软雅黑" w:hAnsi="微软雅黑" w:cs="微软雅黑"/>
        </w:rPr>
      </w:pPr>
      <w:r/>
      <w:bookmarkStart w:id="66" w:name="_Toc2859"/>
      <w:r/>
      <w:bookmarkStart w:id="67" w:name="_Toc452384176"/>
      <w:r>
        <w:rPr>
          <w:rFonts w:hint="eastAsia" w:ascii="微软雅黑" w:hAnsi="微软雅黑" w:cs="微软雅黑"/>
        </w:rPr>
        <w:t xml:space="preserve">二、采购文件</w:t>
      </w:r>
      <w:bookmarkEnd w:id="66"/>
      <w:r/>
      <w:bookmarkEnd w:id="67"/>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68" w:name="_Toc452384177"/>
      <w:r/>
      <w:bookmarkStart w:id="69" w:name="_Toc939"/>
      <w:r>
        <w:rPr>
          <w:rFonts w:hint="eastAsia" w:ascii="微软雅黑" w:hAnsi="微软雅黑" w:cs="微软雅黑"/>
          <w:b/>
          <w:bCs w:val="0"/>
          <w:sz w:val="24"/>
          <w:szCs w:val="24"/>
        </w:rPr>
        <w:t xml:space="preserve">2.1 采购文件的组成</w:t>
      </w:r>
      <w:bookmarkEnd w:id="68"/>
      <w:r/>
      <w:bookmarkEnd w:id="69"/>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2.1.1 采购文件由以下部分组成：</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第一章  投标邀请（采购公告）</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第二章  供应商须知</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第三章  评分标准和定标原则</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第四章  项目采购需求</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第五章  采购合同</w:t>
      </w:r>
      <w:r>
        <w:rPr>
          <w:rFonts w:hint="eastAsia" w:ascii="微软雅黑" w:hAnsi="微软雅黑" w:cs="微软雅黑"/>
        </w:rPr>
      </w:r>
      <w:r/>
    </w:p>
    <w:p>
      <w:pPr>
        <w:pStyle w:val="1044"/>
        <w:spacing w:line="440" w:lineRule="exact"/>
        <w:rPr>
          <w:rFonts w:ascii="微软雅黑" w:hAnsi="微软雅黑" w:cs="微软雅黑"/>
        </w:rPr>
      </w:pPr>
      <w:r>
        <w:rPr>
          <w:rFonts w:hint="eastAsia" w:ascii="微软雅黑" w:hAnsi="微软雅黑" w:cs="微软雅黑"/>
        </w:rPr>
        <w:t xml:space="preserve">第六章  投标文件格式及附件</w:t>
      </w:r>
      <w:r>
        <w:rPr>
          <w:rFonts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70" w:name="_Toc452384179"/>
      <w:r/>
      <w:bookmarkStart w:id="71" w:name="_Toc4146"/>
      <w:r>
        <w:rPr>
          <w:rFonts w:hint="eastAsia" w:ascii="微软雅黑" w:hAnsi="微软雅黑" w:cs="微软雅黑"/>
          <w:b/>
          <w:bCs w:val="0"/>
          <w:sz w:val="24"/>
          <w:szCs w:val="24"/>
        </w:rPr>
        <w:t xml:space="preserve">2.2 采购文件的更正或补充</w:t>
      </w:r>
      <w:bookmarkEnd w:id="70"/>
      <w:r/>
      <w:bookmarkEnd w:id="71"/>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2.2.1 在投标截止时间前，采购代理机构可根据有关规定对采购文件用更正公告的方式进行修正。</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2.2.3 当采购文件与更正公告的内容不一致时，以采购代理机构最后发出的更正公告为准。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2.2.4 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rPr>
      </w:r>
      <w:r/>
    </w:p>
    <w:p>
      <w:pPr>
        <w:pStyle w:val="1046"/>
        <w:rPr>
          <w:rFonts w:hint="eastAsia" w:ascii="微软雅黑" w:hAnsi="微软雅黑" w:cs="微软雅黑"/>
        </w:rPr>
      </w:pPr>
      <w:r/>
      <w:bookmarkStart w:id="72" w:name="_Toc1012"/>
      <w:r/>
      <w:bookmarkStart w:id="73" w:name="_Toc452384180"/>
      <w:r>
        <w:rPr>
          <w:rFonts w:hint="eastAsia" w:ascii="微软雅黑" w:hAnsi="微软雅黑" w:cs="微软雅黑"/>
        </w:rPr>
        <w:t xml:space="preserve">三、投标文件</w:t>
      </w:r>
      <w:bookmarkEnd w:id="72"/>
      <w:r/>
      <w:bookmarkEnd w:id="73"/>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74" w:name="_Toc452384181"/>
      <w:r/>
      <w:bookmarkStart w:id="75" w:name="_Toc10839"/>
      <w:r>
        <w:rPr>
          <w:rFonts w:hint="eastAsia" w:ascii="微软雅黑" w:hAnsi="微软雅黑" w:cs="微软雅黑"/>
          <w:b/>
          <w:bCs w:val="0"/>
          <w:sz w:val="24"/>
          <w:szCs w:val="24"/>
        </w:rPr>
        <w:t xml:space="preserve">3.1 投标文件的语言及度量衡</w:t>
      </w:r>
      <w:bookmarkEnd w:id="74"/>
      <w:r/>
      <w:bookmarkEnd w:id="75"/>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3.1.1 投标文件以及供应商与采购代理机构之间的所有书面往来都应用简体中文书写。</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3.1.3 除在采购文件第六章中另有规定外，度量衡单位应使用国际单位制。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3.1.4 本采购文件所表述的时间均为北京时间。</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76" w:name="_Toc452384182"/>
      <w:r/>
      <w:bookmarkStart w:id="77" w:name="_Toc2339"/>
      <w:r>
        <w:rPr>
          <w:rFonts w:hint="eastAsia" w:ascii="微软雅黑" w:hAnsi="微软雅黑" w:cs="微软雅黑"/>
          <w:b/>
          <w:bCs w:val="0"/>
          <w:sz w:val="24"/>
          <w:szCs w:val="24"/>
        </w:rPr>
        <w:t xml:space="preserve">3.2 投标文件的组成</w:t>
      </w:r>
      <w:bookmarkEnd w:id="76"/>
      <w:r/>
      <w:bookmarkEnd w:id="77"/>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3.2.1 投标文件应包括下列部分（目录及有关格式按采购文件第六章“投标文件格式”要求）：</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（1）投标函和投标报价及相关证明文件。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（2）供应商资格证明文件。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（3）投标供应商有能力履行合同的证明文件，除必须具有的履行合同所需的提供工程、货物或者服务的能力外，还必须具备相应的财务、专业技术方面的能力；</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3.2.2 采购文件第四章中指出的工艺、材料和设备的标准，以及商标、牌号或其目录编号，仅起说明作用并非进行限制。</w:t>
      </w:r>
      <w:r>
        <w:rPr>
          <w:rFonts w:hint="eastAsia" w:ascii="微软雅黑" w:hAnsi="微软雅黑" w:cs="微软雅黑"/>
        </w:rPr>
      </w:r>
      <w:r/>
    </w:p>
    <w:p>
      <w:pPr>
        <w:pStyle w:val="1044"/>
        <w:spacing w:line="440" w:lineRule="exact"/>
        <w:rPr>
          <w:rFonts w:hint="eastAsia" w:ascii="微软雅黑" w:hAnsi="微软雅黑" w:cs="微软雅黑"/>
          <w:b/>
          <w:i/>
          <w:u w:val="single"/>
        </w:rPr>
      </w:pPr>
      <w:r>
        <w:rPr>
          <w:rFonts w:hint="eastAsia" w:ascii="微软雅黑" w:hAnsi="微软雅黑" w:cs="微软雅黑"/>
        </w:rPr>
        <w:t xml:space="preserve">3.2.3 </w:t>
      </w:r>
      <w:r>
        <w:rPr>
          <w:rFonts w:hint="eastAsia" w:ascii="微软雅黑" w:hAnsi="微软雅黑" w:cs="微软雅黑"/>
          <w:b/>
          <w:i/>
          <w:u w:val="single"/>
        </w:rPr>
        <w:t xml:space="preserve">若供应商未按采购文件的要求提供资料，或未对采购文件做出实质性响应，将导致投标文件被视为无效。</w:t>
      </w:r>
      <w:r>
        <w:rPr>
          <w:rFonts w:hint="eastAsia" w:ascii="微软雅黑" w:hAnsi="微软雅黑" w:cs="微软雅黑"/>
          <w:b/>
          <w:i/>
          <w:u w:val="single"/>
        </w:rPr>
      </w:r>
      <w:r/>
    </w:p>
    <w:p>
      <w:pPr>
        <w:pStyle w:val="1047"/>
        <w:jc w:val="left"/>
        <w:spacing w:line="440" w:lineRule="exact"/>
        <w:rPr>
          <w:rFonts w:hint="eastAsia" w:ascii="微软雅黑" w:hAnsi="微软雅黑" w:cs="微软雅黑"/>
          <w:b/>
          <w:bCs w:val="0"/>
          <w:sz w:val="24"/>
          <w:szCs w:val="24"/>
        </w:rPr>
      </w:pPr>
      <w:r/>
      <w:bookmarkStart w:id="78" w:name="_Toc452384183"/>
      <w:r/>
      <w:bookmarkStart w:id="79" w:name="_Toc12816"/>
      <w:r>
        <w:rPr>
          <w:rFonts w:hint="eastAsia" w:ascii="微软雅黑" w:hAnsi="微软雅黑" w:cs="微软雅黑"/>
          <w:b/>
          <w:bCs w:val="0"/>
          <w:sz w:val="24"/>
          <w:szCs w:val="24"/>
        </w:rPr>
        <w:t xml:space="preserve">3.3 投标报价</w:t>
      </w:r>
      <w:bookmarkEnd w:id="78"/>
      <w:r/>
      <w:bookmarkEnd w:id="79"/>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3.3.1 本次采购内容采用总承包方式，固定单价合同。</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投标报价应是招标文件所确定的招标范围内的全部工作内容的价格体现。其应包括但不限于施工机械、劳务、材料、设备、随设备提供的备品配</w:t>
      </w:r>
      <w:r>
        <w:rPr>
          <w:rFonts w:hint="eastAsia" w:ascii="微软雅黑" w:hAnsi="微软雅黑" w:cs="微软雅黑"/>
        </w:rPr>
        <w:t xml:space="preserve">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投标人认为需要的其他费用、管理费、利润、保险、规费、税金政策性文件规定及合同明示和暗示所有风险费用以及为完成上述内容所必须的其他措施等全部费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合同价款中包括的风险范围：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B、措施项目费。措施项目费是指为完成工程项目施工所必须发生的施工准备和施工过程中技术、生活、安全、环境保护等方面的非工程实体项目费用，由总价措施项目费和单价措施项目费、投标人考虑应增加的其它措施费三部分组成。措施项目费用以包干形式计入，无论在合同价中是否单独列出均认为已含在合同价中，结算时与分部分项工程量变化、设计变更、现场签证等无关，不再调整，投标人务必充分考虑此项风险。</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总价措施项目费及单价措施项目包括不限于总承包服务费、施工配合费、现场安全文明施工措施费，扬尘覆盖、环境保护费、排污费、地上地下障碍物处理费、夜间施工增加费，甲供或甲控乙供及乙供材料和设备的场内二次搬运费，冬雨季施工增加费，场地限制、环保要求、高（中）考、节假日、市内重大活动期间、省</w:t>
      </w:r>
      <w:r>
        <w:rPr>
          <w:rFonts w:hint="eastAsia" w:ascii="微软雅黑" w:hAnsi="微软雅黑" w:cs="微软雅黑"/>
        </w:rPr>
        <w:t xml:space="preserve">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疫情防控措施费，特殊条件下施工增加费、超高费、脚手架费用，垂直运输机械费，施工图深化设计费，安装工程措施项目费等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总承包服务费及施工配合费。投标人投标报价中应包含与本工程业主另行发包的其他项目的施工单位应收的总承包服务费及施工配合费。投标人无论是否在投标报价中单独列支，招标人均认为此项费用包含在投标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（3）除上述总价措施项目费和单价措施项目费以外，合同价中还包括招标文件、工程量清单和合同条款中包括的其他所有费用等及投标人考虑全面施工本项目时应增加的潜在其它措施费及风险费用等。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投标人必须充分踏勘现场，以获得现场第一手资料，以便对工地位置、场地状况、运输条件、道路、储存空间、装卸限制、环境等现场条件有充分认识，对措施项目费用进行准确报价，一旦中标后，不得以任何理由进行调整，标段内包干使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2、风险范围以外合同价格的调整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（1）调整范围①经发包人确认的设计变更；②发包人、跟踪审计和监理方均认可经审核后的签证；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（2）调整方法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①新增的工程量清单项目的项目特征与投标报价中项目相同的，按投标报价的综合单价计算。</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监理、跟踪审计审核后报业主确定。</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③投标报价中没有综合单价的新增的工程量清单项目， 新增综合单价按《建设工程工程量清单计价规范》（GB50500-2013）、《江苏省建筑与装饰工程计价定额》（2014）、《江苏省安装工程计价定额》（2014）中的人工、材料、机械台班耗用量、投标报价时的人工、机械台班单价、材料价格（无投标价的材料按当期的南京信息指导价，无信息指导价的材料按施工时期的市场价），并按照投标同等让利幅度确定单价。新增综合单价及材料市场价由承包人提出，经监理、跟踪审计审核后报业主确定。</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3.3.2投标报价编制要求</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（1）所有材料、设备按规范及监理要求进行检测，由采购人指定检测单位，本工程材料、设备所需全部检测费用由供应商支付，包含在投标报价中，结算时发包人不予增加任何费用；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开工前，水、电由招标人接至施工现场（50米范围内），业主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招标人先行垫付，不论承包人在投标清单中是否计入，招标人都将在结算时按定额水平予以扣除。</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（3）投标报价需符合江苏省、南京市建设行政主管部门规定的相关费用及应缴纳的各种税费，并应根据供应商实际情况自主进行，但不得低于成本；</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供应商在投标报价时应充分考虑政策性调整、人工、建材市场风险等因素。本工程投标报价中必须详细列出招标范围的所有材料、设备的名称、厂家、品牌、型号、规格、等级、主要技术指标、产地等信息。</w:t>
      </w:r>
      <w:r>
        <w:rPr>
          <w:rFonts w:hint="eastAsia" w:ascii="微软雅黑" w:hAnsi="微软雅黑" w:cs="微软雅黑"/>
        </w:rPr>
      </w:r>
      <w:r/>
    </w:p>
    <w:p>
      <w:pPr>
        <w:pStyle w:val="1044"/>
        <w:spacing w:line="440" w:lineRule="exact"/>
        <w:widowControl/>
        <w:rPr>
          <w:rFonts w:hint="eastAsia" w:ascii="微软雅黑" w:hAnsi="微软雅黑" w:cs="微软雅黑"/>
        </w:rPr>
      </w:pPr>
      <w:r>
        <w:rPr>
          <w:rFonts w:hint="eastAsia" w:ascii="微软雅黑" w:hAnsi="微软雅黑" w:cs="微软雅黑"/>
        </w:rPr>
        <w:t xml:space="preserve">（5）投标报价的计价方法按《建设工程工程量清单计价规范》（GB50500-2013）执行（如有最新规定，按最新规定执行）。</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供应商投标前必须自行安排对工程现场和周围环境进行现场考察，供应商应充分重视和仔细地进行这种考察，充分注意到本项目采购、工程改造的特殊性，将其可能引起的造价变化等相关因素考虑到投标报价内，一旦中标，这种考察即被认为其结果已在投标文件中得到充分反映，施工时因为工程特殊性而做的相关变更，工程造价不调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供应商必须充分勘查现场，供应商在投标时需充分考虑该项目施工过程中的其他相关措施费用，相关费用包含在所报的单价或总价内，采购人不再单独计列和支付。</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除非合同另有规定，业主认为投标报价的措施费用适用于招标（合同）文件中规定或包括的任何项目的任何实施方法，投标方不得因施工方法不同而提出任何追加费用的要求，实施该方法的费用已充分包含在措施项目报价内，结算时上述费用不予调整，标段内包干使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7）采购人要求的工期已充分考虑可能各种形式下的下雨、下雪、冰雹、台风、高温天气、停水、停电、节假日、扰民和民扰、道路施工影响等等不利因素的影响，但不可抗力或采购人书面同意延期的除外。合同工期执行投标单位投标函中自报工期；供应商一旦中标，在采购人发出开工令后必须按合同约定的工期完成；投标人承担未按期完工的违约责任。</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8）本工程中标人确定的项目负责人，必须是供应商通过资格审查的项目负责人（如有变动，须经采购人书面同意），否则，采购人有权采取任何有利于采购人的行为，直至解除合同，并由中标人承担因此造成采购人的一切损失；</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（9）环保部门要求的或未达到环保部门要求的整改相关费用在本次报价内。</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10）不论如何，业主认为中标单位的投标报价是充分满足招标文件的技术参数和功能要求的。对于任何为了满足招标文件的技术参数和功能要求的深化设计、变更、技术核定所引起工程造价的增加，业主均不认可，工程结算不增加任何费用（工程招标合同范围外的另算）。</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11）供应商在进行墙面、地面、现浇板开槽、开洞工作时，应根据埋管情况放线、切割，不得任意敲凿，并承担相应的墙、地面、现浇板开槽、开洞和墙面、地面、现浇板的恢复费用，把涉及的相关费用充分考虑在投标报价中，工程结算不会因为任何涉及墙、地面、现浇板开槽、开洞及恢复等相关工作而增加费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（12）总包配合费及与其他相关协调费用包含在投标报价内，无论任何理由，工程结算时不调整。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13）供应商投标文件必须对招标文件中所提出的各项要求和规定逐条进行应答，无论投标时是否作应答或者应答是否合理，中标后都将被业主认为已经对招标书中业主要求的功能和技术要求做了最严格的满足响应,且施工中不能因此增加任何费用，否则招标人有权要求投标人承担合同价0.2%的违约金。</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3.3.2 除非采购文件有特别说明，采购代理机构不接受备选的投标方案或有选择的报价。</w:t>
      </w:r>
      <w:r>
        <w:rPr>
          <w:rFonts w:hint="eastAsia" w:ascii="微软雅黑" w:hAnsi="微软雅黑" w:cs="微软雅黑"/>
        </w:rPr>
      </w:r>
      <w:r/>
    </w:p>
    <w:p>
      <w:pPr>
        <w:pStyle w:val="1044"/>
        <w:spacing w:line="440" w:lineRule="exact"/>
        <w:rPr>
          <w:rFonts w:hint="eastAsia" w:ascii="微软雅黑" w:hAnsi="微软雅黑" w:cs="微软雅黑"/>
          <w:b/>
          <w:i/>
          <w:u w:val="single"/>
        </w:rPr>
      </w:pPr>
      <w:r>
        <w:rPr>
          <w:rFonts w:hint="eastAsia" w:ascii="微软雅黑" w:hAnsi="微软雅黑" w:cs="微软雅黑"/>
          <w:b/>
          <w:i/>
          <w:u w:val="single"/>
        </w:rPr>
        <w:t xml:space="preserve">3.3.3 投标报价不得超过采购预算或最高限价，否则投标文件被视为无效。</w:t>
      </w:r>
      <w:r>
        <w:rPr>
          <w:rFonts w:hint="eastAsia" w:ascii="微软雅黑" w:hAnsi="微软雅黑" w:cs="微软雅黑"/>
          <w:b/>
          <w:i/>
          <w:u w:val="single"/>
        </w:rPr>
      </w:r>
      <w:r/>
    </w:p>
    <w:p>
      <w:pPr>
        <w:pStyle w:val="1047"/>
        <w:jc w:val="left"/>
        <w:spacing w:line="440" w:lineRule="exact"/>
        <w:rPr>
          <w:rFonts w:hint="eastAsia" w:ascii="微软雅黑" w:hAnsi="微软雅黑" w:cs="微软雅黑"/>
          <w:b/>
          <w:bCs w:val="0"/>
          <w:sz w:val="24"/>
          <w:szCs w:val="24"/>
        </w:rPr>
      </w:pPr>
      <w:r/>
      <w:bookmarkStart w:id="80" w:name="_Toc452384184"/>
      <w:r/>
      <w:bookmarkStart w:id="81" w:name="_Toc30151"/>
      <w:r>
        <w:rPr>
          <w:rFonts w:hint="eastAsia" w:ascii="微软雅黑" w:hAnsi="微软雅黑" w:cs="微软雅黑"/>
          <w:b/>
          <w:bCs w:val="0"/>
          <w:sz w:val="24"/>
          <w:szCs w:val="24"/>
        </w:rPr>
        <w:t xml:space="preserve">3.4 投标报价中的货币</w:t>
      </w:r>
      <w:bookmarkEnd w:id="80"/>
      <w:r/>
      <w:bookmarkEnd w:id="81"/>
      <w:r>
        <w:rPr>
          <w:rFonts w:hint="eastAsia" w:ascii="微软雅黑" w:hAnsi="微软雅黑" w:cs="微软雅黑"/>
          <w:b/>
          <w:bCs w:val="0"/>
          <w:sz w:val="24"/>
          <w:szCs w:val="24"/>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投标报价均须以人民币为计算单位，采购文件另有规定的，从其规定。</w:t>
      </w:r>
      <w:r>
        <w:rPr>
          <w:rFonts w:hint="eastAsia" w:ascii="微软雅黑" w:hAnsi="微软雅黑" w:cs="微软雅黑"/>
        </w:rPr>
      </w:r>
      <w:r/>
    </w:p>
    <w:p>
      <w:pPr>
        <w:pStyle w:val="1047"/>
        <w:jc w:val="left"/>
        <w:spacing w:line="440" w:lineRule="exact"/>
        <w:rPr>
          <w:rFonts w:hint="eastAsia" w:ascii="微软雅黑" w:hAnsi="微软雅黑" w:cs="微软雅黑"/>
          <w:b/>
          <w:bCs w:val="0"/>
          <w:sz w:val="24"/>
          <w:szCs w:val="24"/>
        </w:rPr>
      </w:pPr>
      <w:r/>
      <w:bookmarkStart w:id="82" w:name="_Toc452384185"/>
      <w:r/>
      <w:bookmarkStart w:id="83" w:name="_Toc986"/>
      <w:r>
        <w:rPr>
          <w:rFonts w:hint="eastAsia" w:ascii="微软雅黑" w:hAnsi="微软雅黑" w:cs="微软雅黑"/>
          <w:b/>
          <w:bCs w:val="0"/>
          <w:sz w:val="24"/>
          <w:szCs w:val="24"/>
        </w:rPr>
        <w:t xml:space="preserve">3.5 投标保证金</w:t>
      </w:r>
      <w:bookmarkEnd w:id="82"/>
      <w:r/>
      <w:bookmarkEnd w:id="83"/>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3.5.1 投标保证金是参加本项目采购活动的必要条件，金额按供应商须知前附表要求执行。</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3.5.2 投标保证金的退还</w:t>
      </w:r>
      <w:r>
        <w:rPr>
          <w:rFonts w:hint="eastAsia" w:ascii="微软雅黑" w:hAnsi="微软雅黑" w:cs="微软雅黑"/>
        </w:rPr>
      </w:r>
      <w:r/>
    </w:p>
    <w:p>
      <w:pPr>
        <w:pStyle w:val="1044"/>
        <w:ind w:firstLine="525"/>
        <w:spacing w:line="440" w:lineRule="exact"/>
        <w:rPr>
          <w:rFonts w:hint="eastAsia" w:ascii="微软雅黑" w:hAnsi="微软雅黑" w:cs="微软雅黑"/>
        </w:rPr>
      </w:pPr>
      <w:r>
        <w:rPr>
          <w:rFonts w:hint="eastAsia" w:ascii="微软雅黑" w:hAnsi="微软雅黑" w:cs="微软雅黑"/>
        </w:rPr>
        <w:t xml:space="preserve">中标供应商保证金将在合同签订后五个工作日内原路退还。</w:t>
      </w:r>
      <w:r>
        <w:rPr>
          <w:rFonts w:hint="eastAsia" w:ascii="微软雅黑" w:hAnsi="微软雅黑" w:cs="微软雅黑"/>
          <w:lang w:val="zh-CN"/>
        </w:rPr>
        <w:t xml:space="preserve">采购文件中另有约定的从其约定。</w:t>
      </w:r>
      <w:r>
        <w:rPr>
          <w:rFonts w:hint="eastAsia" w:ascii="微软雅黑" w:hAnsi="微软雅黑" w:cs="微软雅黑"/>
        </w:rPr>
      </w:r>
      <w:r/>
    </w:p>
    <w:p>
      <w:pPr>
        <w:pStyle w:val="1044"/>
        <w:ind w:firstLine="525"/>
        <w:spacing w:line="440" w:lineRule="exact"/>
        <w:rPr>
          <w:rFonts w:hint="eastAsia" w:ascii="微软雅黑" w:hAnsi="微软雅黑" w:cs="微软雅黑"/>
        </w:rPr>
      </w:pPr>
      <w:r>
        <w:rPr>
          <w:rFonts w:hint="eastAsia" w:ascii="微软雅黑" w:hAnsi="微软雅黑" w:cs="微软雅黑"/>
          <w:lang w:val="zh-CN"/>
        </w:rPr>
        <w:t xml:space="preserve">未中标供应商的投标保证金，将在中标通知发出后五个工作日内退还。无论中标或未中标的供应商在规定退保时间满后，应主动与采购代理机构联系办理投标保证金退还事宜以及办理退还手续，请填好退保函后盖公章发至财务邮箱：jshc888888@163.com。（退保函内容至少包含项目名称、项目编号及汇款信息等内容，模板详见江苏省华采招标有限公司官网http://www.jshczb.cn/）由于供应商的自身原因未联系办理保证金退还的，其责任和由此造成的后果由供应商自行承担。</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3.5.3 发生下列情况之一，投标保证金将不予退还：</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（1）供应商在投标有效期内放弃或撤回投标以及在提交投标文件截止时间后撤回投标文件的；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（2）中标、成交供应商未按第6.4条规定签订合同；</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（3）供应商提供虚假材料谋取中标；</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（4）采取不正当手段诋毁、排挤其他供应商的；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（5）与采购人或者其他供应商恶意串通的；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（6）向采购人、采购代理机构行贿或者提供其他不正当利益的；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（7）中标供应商将中标项目转让给他人，或者在投标文件中未说明，且未经采购人同意，将中标项目分包给他人的；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（8）中标供应商拒绝履行合同义务的。</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84" w:name="_Toc20459"/>
      <w:r/>
      <w:bookmarkStart w:id="85" w:name="_Toc452384186"/>
      <w:r>
        <w:rPr>
          <w:rFonts w:hint="eastAsia" w:ascii="微软雅黑" w:hAnsi="微软雅黑" w:cs="微软雅黑"/>
          <w:b/>
          <w:bCs w:val="0"/>
          <w:sz w:val="24"/>
          <w:szCs w:val="24"/>
        </w:rPr>
        <w:t xml:space="preserve">3.6 投标有效期</w:t>
      </w:r>
      <w:bookmarkEnd w:id="84"/>
      <w:r/>
      <w:bookmarkEnd w:id="85"/>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3.6.1 投标有效期为从投标截止之日起计算的九十天，有效期短于此规定的投标文件将被视为无效。</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86" w:name="_Toc452384187"/>
      <w:r/>
      <w:bookmarkStart w:id="87" w:name="_Toc17165"/>
      <w:r>
        <w:rPr>
          <w:rFonts w:hint="eastAsia" w:ascii="微软雅黑" w:hAnsi="微软雅黑" w:cs="微软雅黑"/>
          <w:b/>
          <w:bCs w:val="0"/>
          <w:sz w:val="24"/>
          <w:szCs w:val="24"/>
        </w:rPr>
        <w:t xml:space="preserve">3.7 投标文件的签署、形式及装订</w:t>
      </w:r>
      <w:bookmarkEnd w:id="86"/>
      <w:r/>
      <w:bookmarkEnd w:id="87"/>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3.7.1 </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3.7.2 投标文件正本中，除采购文件第六章规定的可提交复印件外，其他文件均须提交原件，文字材料需打印或用不褪色墨水书写。投标文件的正本须经法定代表人（授权代表）签字/盖章，并且须加盖供应商公章。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3.7.3 投标文件如有错误必须修改时，修改处须由法定代表人（授权代表）签字或加盖公章。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3.7.4 投标文件需包含评分索引表、目录及页码。投标文件需固定胶装成册。</w:t>
      </w:r>
      <w:r>
        <w:rPr>
          <w:rFonts w:hint="eastAsia" w:ascii="微软雅黑" w:hAnsi="微软雅黑" w:cs="微软雅黑"/>
        </w:rPr>
      </w:r>
      <w:r/>
    </w:p>
    <w:p>
      <w:pPr>
        <w:pStyle w:val="1046"/>
        <w:rPr>
          <w:rFonts w:hint="eastAsia" w:ascii="微软雅黑" w:hAnsi="微软雅黑" w:cs="微软雅黑"/>
        </w:rPr>
      </w:pPr>
      <w:r/>
      <w:bookmarkStart w:id="88" w:name="_Toc452384188"/>
      <w:r/>
      <w:bookmarkStart w:id="89" w:name="_Toc29975"/>
      <w:r>
        <w:rPr>
          <w:rFonts w:hint="eastAsia" w:ascii="微软雅黑" w:hAnsi="微软雅黑" w:cs="微软雅黑"/>
        </w:rPr>
        <w:t xml:space="preserve">四、投标文件的递交</w:t>
      </w:r>
      <w:bookmarkEnd w:id="88"/>
      <w:r/>
      <w:bookmarkEnd w:id="89"/>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90" w:name="_Toc18524"/>
      <w:r/>
      <w:bookmarkStart w:id="91" w:name="_Toc452384189"/>
      <w:r>
        <w:rPr>
          <w:rFonts w:hint="eastAsia" w:ascii="微软雅黑" w:hAnsi="微软雅黑" w:cs="微软雅黑"/>
          <w:b/>
          <w:bCs w:val="0"/>
          <w:sz w:val="24"/>
          <w:szCs w:val="24"/>
        </w:rPr>
        <w:t xml:space="preserve">4.1 投标文件的密封</w:t>
      </w:r>
      <w:bookmarkEnd w:id="90"/>
      <w:r/>
      <w:bookmarkEnd w:id="91"/>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4.1.1 供应商递交的所有投标文件均应密封，封口处应骑缝加盖公章或法定代表人（授权代表）签字/盖章。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4.1.2 密封袋（箱）上须注明：</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（1）采购编号及项目名称；</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（2）分包号（如有）；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（3）供应商的名称、地址、联系人、电话等。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4.1.3 投标文件未按第 4.1.1和 4.1.2条规定书写标记和密封者，采购代理机构不对其被错放或先期启封负责。    </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92" w:name="_Toc12116"/>
      <w:r/>
      <w:bookmarkStart w:id="93" w:name="_Toc452384190"/>
      <w:r>
        <w:rPr>
          <w:rFonts w:hint="eastAsia" w:ascii="微软雅黑" w:hAnsi="微软雅黑" w:cs="微软雅黑"/>
          <w:b/>
          <w:bCs w:val="0"/>
          <w:sz w:val="24"/>
          <w:szCs w:val="24"/>
        </w:rPr>
        <w:t xml:space="preserve">4.2投标截止时间</w:t>
      </w:r>
      <w:bookmarkEnd w:id="92"/>
      <w:r/>
      <w:bookmarkEnd w:id="93"/>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4.2.1 供应商须在采购文件第一章“投标邀请”规定的投标截止时间前将投标文件送达采购代理机构指定的投标地点。</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4.2.2 若采购代理机构按3.6.2条规定推迟了投标截止时间，采购代理机构和供应商受投标截止时间制约的所有权利和义务均应以新的截止时间为准。</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94" w:name="_Toc452384191"/>
      <w:r/>
      <w:bookmarkStart w:id="95" w:name="_Toc16707"/>
      <w:r>
        <w:rPr>
          <w:rFonts w:hint="eastAsia" w:ascii="微软雅黑" w:hAnsi="微软雅黑" w:cs="微软雅黑"/>
          <w:b/>
          <w:bCs w:val="0"/>
          <w:sz w:val="24"/>
          <w:szCs w:val="24"/>
        </w:rPr>
        <w:t xml:space="preserve">4.3 迟交的投标文件</w:t>
      </w:r>
      <w:bookmarkEnd w:id="94"/>
      <w:r/>
      <w:bookmarkEnd w:id="95"/>
      <w:r>
        <w:rPr>
          <w:rFonts w:hint="eastAsia" w:ascii="微软雅黑" w:hAnsi="微软雅黑" w:cs="微软雅黑"/>
          <w:b/>
          <w:bCs w:val="0"/>
          <w:sz w:val="24"/>
          <w:szCs w:val="24"/>
        </w:rPr>
      </w:r>
      <w:r/>
    </w:p>
    <w:p>
      <w:pPr>
        <w:pStyle w:val="1044"/>
        <w:spacing w:line="440" w:lineRule="exact"/>
        <w:rPr>
          <w:rFonts w:hint="eastAsia" w:ascii="微软雅黑" w:hAnsi="微软雅黑" w:cs="微软雅黑"/>
          <w:b/>
          <w:i/>
          <w:u w:val="single"/>
        </w:rPr>
      </w:pPr>
      <w:r>
        <w:rPr>
          <w:rFonts w:hint="eastAsia" w:ascii="微软雅黑" w:hAnsi="微软雅黑" w:cs="微软雅黑"/>
          <w:b/>
          <w:i/>
          <w:u w:val="single"/>
        </w:rPr>
        <w:t xml:space="preserve">在投标截止时间后递交的投标文件，采购代理机构将拒绝接收。</w:t>
      </w:r>
      <w:r>
        <w:rPr>
          <w:rFonts w:hint="eastAsia" w:ascii="微软雅黑" w:hAnsi="微软雅黑" w:cs="微软雅黑"/>
          <w:b/>
          <w:i/>
          <w:u w:val="single"/>
        </w:rPr>
      </w:r>
      <w:r/>
    </w:p>
    <w:p>
      <w:pPr>
        <w:pStyle w:val="1047"/>
        <w:jc w:val="left"/>
        <w:rPr>
          <w:rFonts w:hint="eastAsia" w:ascii="微软雅黑" w:hAnsi="微软雅黑" w:cs="微软雅黑"/>
          <w:b/>
          <w:bCs w:val="0"/>
          <w:sz w:val="24"/>
          <w:szCs w:val="24"/>
        </w:rPr>
      </w:pPr>
      <w:r/>
      <w:bookmarkStart w:id="96" w:name="_Toc15202"/>
      <w:r/>
      <w:bookmarkStart w:id="97" w:name="_Toc452384192"/>
      <w:r>
        <w:rPr>
          <w:rFonts w:hint="eastAsia" w:ascii="微软雅黑" w:hAnsi="微软雅黑" w:cs="微软雅黑"/>
          <w:b/>
          <w:bCs w:val="0"/>
          <w:sz w:val="24"/>
          <w:szCs w:val="24"/>
        </w:rPr>
        <w:t xml:space="preserve">4.4 投标文件的修改和撤回</w:t>
      </w:r>
      <w:bookmarkEnd w:id="96"/>
      <w:r/>
      <w:bookmarkEnd w:id="97"/>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4.4.1 供应商在提交投标文件后可对其进行修改或撤回，但采购代理机构必须在投标截止时间前收到该修改的书面内容或撤回的书面通知，该书面文件须由法定代表人（授权代表）签字/盖章。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4.4.2 投标文件的修改文件应按第3.7.3条规定签署，正、副本密封，并按第 4.1.1条规定标记，还须注明“修改投标文件”和“开标前不得启封”字样。修改文件须在投标截止时间前送达采购代理机构指定地点。上述补充或修改若涉及投标报价，必须注明“最后唯一报价”字样，否则将视为有选择的报价。</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4.4.3 供应商不得在投标截止时间以后修改投标文件。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4.4.4 供应商不得在投标截止时间起至投标有效期满前撤回投标文件，否则投标保证金将被没收。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4.4.5 采购代理机构接收的所有投标文件，均不予退还。</w:t>
      </w:r>
      <w:r>
        <w:rPr>
          <w:rFonts w:hint="eastAsia" w:ascii="微软雅黑" w:hAnsi="微软雅黑" w:cs="微软雅黑"/>
        </w:rPr>
      </w:r>
      <w:r/>
    </w:p>
    <w:p>
      <w:pPr>
        <w:pStyle w:val="1046"/>
        <w:rPr>
          <w:rFonts w:hint="eastAsia" w:ascii="微软雅黑" w:hAnsi="微软雅黑" w:cs="微软雅黑"/>
        </w:rPr>
      </w:pPr>
      <w:r/>
      <w:bookmarkStart w:id="98" w:name="_Toc452384193"/>
      <w:r/>
      <w:bookmarkStart w:id="99" w:name="_Toc28655"/>
      <w:r>
        <w:rPr>
          <w:rFonts w:hint="eastAsia" w:ascii="微软雅黑" w:hAnsi="微软雅黑" w:cs="微软雅黑"/>
        </w:rPr>
        <w:t xml:space="preserve">五、投标文件启封及评审</w:t>
      </w:r>
      <w:bookmarkEnd w:id="98"/>
      <w:r/>
      <w:bookmarkEnd w:id="99"/>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00" w:name="_Toc4477"/>
      <w:r/>
      <w:bookmarkStart w:id="101" w:name="_Toc452384194"/>
      <w:r>
        <w:rPr>
          <w:rFonts w:hint="eastAsia" w:ascii="微软雅黑" w:hAnsi="微软雅黑" w:cs="微软雅黑"/>
          <w:b/>
          <w:bCs w:val="0"/>
          <w:sz w:val="24"/>
          <w:szCs w:val="24"/>
        </w:rPr>
        <w:t xml:space="preserve">5.1 投标文件启封</w:t>
      </w:r>
      <w:bookmarkEnd w:id="100"/>
      <w:r/>
      <w:bookmarkEnd w:id="101"/>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5.1.1 采购人、采购代理机构按采购文件规定的时间和地点启封投标文件。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5.1.2 供应商法定代表人（授权代表）</w:t>
      </w:r>
      <w:r>
        <w:rPr>
          <w:rFonts w:hint="eastAsia" w:ascii="微软雅黑" w:hAnsi="微软雅黑" w:cs="微软雅黑"/>
          <w:b/>
          <w:i/>
          <w:u w:val="single"/>
        </w:rPr>
        <w:t xml:space="preserve">须持本人身份证件及法人授权委托书原件</w:t>
      </w:r>
      <w:r>
        <w:rPr>
          <w:rFonts w:hint="eastAsia" w:ascii="微软雅黑" w:hAnsi="微软雅黑" w:cs="微软雅黑"/>
        </w:rPr>
        <w:t xml:space="preserve">参加投标项目的开标活动。若法定代表人参加投标项目的开标活动，则无须提供法人授权委托书，但须持本人身份证件办理有关手续。</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5.1.3 供应商必须在投标截止时间前办理完毕签名报到、递交投标文件以及其它采购文件所规定的应在投标截止时间前完成的事项（如样品递交等）。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5.1.4 投标文件启封时，供应商代表、公证员（必要时）将查验投标文件密封情况，确认无误后拆封唱标，公布每份投标文件中“开标一览表”的报价以及采购代理机构认为合适的其他内容，采购代理机构将作开标记录。</w:t>
      </w:r>
      <w:r>
        <w:rPr>
          <w:rFonts w:hint="eastAsia" w:ascii="微软雅黑" w:hAnsi="微软雅黑" w:cs="微软雅黑"/>
        </w:rPr>
      </w:r>
      <w:r/>
    </w:p>
    <w:p>
      <w:pPr>
        <w:pStyle w:val="1044"/>
        <w:spacing w:line="440" w:lineRule="exact"/>
        <w:rPr>
          <w:rFonts w:hint="eastAsia" w:ascii="微软雅黑" w:hAnsi="微软雅黑" w:cs="微软雅黑"/>
          <w:b/>
          <w:i/>
          <w:u w:val="single"/>
        </w:rPr>
      </w:pPr>
      <w:r>
        <w:rPr>
          <w:rFonts w:hint="eastAsia" w:ascii="微软雅黑" w:hAnsi="微软雅黑" w:cs="微软雅黑"/>
        </w:rPr>
        <w:t xml:space="preserve">5.1.5</w:t>
      </w:r>
      <w:r>
        <w:rPr>
          <w:rFonts w:hint="eastAsia" w:ascii="微软雅黑" w:hAnsi="微软雅黑" w:cs="微软雅黑"/>
          <w:b/>
          <w:i/>
          <w:u w:val="single"/>
        </w:rPr>
        <w:t xml:space="preserve"> 若投标文件未密封，采购代理机构将拒绝接收该供应商的投标文件。</w:t>
      </w:r>
      <w:r>
        <w:rPr>
          <w:rFonts w:hint="eastAsia" w:ascii="微软雅黑" w:hAnsi="微软雅黑" w:cs="微软雅黑"/>
          <w:b/>
          <w:i/>
          <w:u w:val="single"/>
        </w:rPr>
      </w:r>
      <w:r/>
    </w:p>
    <w:p>
      <w:pPr>
        <w:pStyle w:val="1044"/>
        <w:spacing w:line="440" w:lineRule="exact"/>
        <w:rPr>
          <w:rFonts w:hint="eastAsia" w:ascii="微软雅黑" w:hAnsi="微软雅黑" w:cs="微软雅黑"/>
        </w:rPr>
      </w:pPr>
      <w:r>
        <w:rPr>
          <w:rFonts w:hint="eastAsia" w:ascii="微软雅黑" w:hAnsi="微软雅黑" w:cs="微软雅黑"/>
        </w:rPr>
        <w:t xml:space="preserve">5.1.6 按照第4.4.1条规定，同意撤回的投标文件将不予拆封。</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02" w:name="_Toc14182"/>
      <w:r/>
      <w:bookmarkStart w:id="103" w:name="_Toc452384195"/>
      <w:r>
        <w:rPr>
          <w:rFonts w:hint="eastAsia" w:ascii="微软雅黑" w:hAnsi="微软雅黑" w:cs="微软雅黑"/>
          <w:b/>
          <w:bCs w:val="0"/>
          <w:sz w:val="24"/>
          <w:szCs w:val="24"/>
        </w:rPr>
        <w:t xml:space="preserve">5.2 评标委员会</w:t>
      </w:r>
      <w:bookmarkEnd w:id="102"/>
      <w:r/>
      <w:bookmarkEnd w:id="103"/>
      <w:r>
        <w:rPr>
          <w:rFonts w:hint="eastAsia" w:ascii="微软雅黑" w:hAnsi="微软雅黑" w:cs="微软雅黑"/>
          <w:b/>
          <w:bCs w:val="0"/>
          <w:sz w:val="24"/>
          <w:szCs w:val="24"/>
        </w:rPr>
      </w:r>
      <w:r/>
    </w:p>
    <w:p>
      <w:pPr>
        <w:pStyle w:val="1044"/>
        <w:ind w:firstLine="315"/>
        <w:spacing w:line="440" w:lineRule="exact"/>
        <w:rPr>
          <w:rFonts w:hint="eastAsia" w:ascii="微软雅黑" w:hAnsi="微软雅黑" w:cs="微软雅黑"/>
        </w:rPr>
      </w:pPr>
      <w:r>
        <w:rPr>
          <w:rFonts w:hint="eastAsia" w:ascii="微软雅黑" w:hAnsi="微软雅黑" w:cs="微软雅黑"/>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04" w:name="_Toc452384196"/>
      <w:r/>
      <w:bookmarkStart w:id="105" w:name="_Toc3425"/>
      <w:r>
        <w:rPr>
          <w:rFonts w:hint="eastAsia" w:ascii="微软雅黑" w:hAnsi="微软雅黑" w:cs="微软雅黑"/>
          <w:b/>
          <w:bCs w:val="0"/>
          <w:sz w:val="24"/>
          <w:szCs w:val="24"/>
        </w:rPr>
        <w:t xml:space="preserve">5.3 对投标文件的资格性审查和符合性审查</w:t>
      </w:r>
      <w:bookmarkEnd w:id="104"/>
      <w:r/>
      <w:bookmarkEnd w:id="105"/>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5.3.1 资格性审查的内容包括：</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（1）供应商资质（采购文件第一章要求）；</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（2）投标保证金交纳情况（采购文件第二章供应商须知前附表要求）；</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（3）投标报价是否超过采购预算或最高限价。</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5.3.2 符合性审查的内容包括：</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（1）投标文件的有效性(签署、盖章情况等)；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（2）投标文件的完整性（正本、副本、内容等）；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（3）对采购文件的响应程度（是否存在重大负偏离等）；</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（4）对投标工程量清单子目编码、子目名称、子目特征、计量单位和工程量的内容是否与招标工程量清单一致；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（5）投标文件中已标价工程量清单与招标文件规定的暂估价、暂列金额及甲供材料价格是否与招标工程量清单一致；</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（6）投标文件中已标价工程量清单与招标文件明确列出的不可竞争费用项目或费率或计算基础是否与招标工程量清单一致；</w:t>
      </w:r>
      <w:r>
        <w:rPr>
          <w:rFonts w:hint="eastAsia" w:ascii="微软雅黑" w:hAnsi="微软雅黑" w:cs="微软雅黑"/>
        </w:rPr>
      </w:r>
      <w:r/>
    </w:p>
    <w:p>
      <w:pPr>
        <w:pStyle w:val="1044"/>
        <w:ind w:firstLine="420"/>
        <w:spacing w:line="440" w:lineRule="exact"/>
        <w:rPr>
          <w:rFonts w:hint="eastAsia" w:ascii="微软雅黑" w:hAnsi="微软雅黑" w:cs="微软雅黑"/>
          <w:b/>
          <w:i/>
          <w:u w:val="single"/>
        </w:rPr>
      </w:pPr>
      <w:r>
        <w:rPr>
          <w:rFonts w:hint="eastAsia" w:ascii="微软雅黑" w:hAnsi="微软雅黑" w:cs="微软雅黑"/>
          <w:b/>
          <w:i/>
          <w:u w:val="single"/>
        </w:rPr>
        <w:t xml:space="preserve">采购代理机构和采购人代表依法对投标供应商的资质进行审查，以上资格性审查的内容只要有一条不满足，则投标文件无效。</w:t>
      </w:r>
      <w:r>
        <w:rPr>
          <w:rFonts w:hint="eastAsia" w:ascii="微软雅黑" w:hAnsi="微软雅黑" w:cs="微软雅黑"/>
          <w:b/>
          <w:i/>
          <w:u w:val="single"/>
        </w:rPr>
      </w:r>
      <w:r/>
    </w:p>
    <w:p>
      <w:pPr>
        <w:pStyle w:val="1044"/>
        <w:ind w:firstLine="420"/>
        <w:spacing w:line="440" w:lineRule="exact"/>
        <w:rPr>
          <w:rFonts w:hint="eastAsia"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rPr>
          <w:rFonts w:hint="eastAsia" w:ascii="微软雅黑" w:hAnsi="微软雅黑" w:cs="微软雅黑"/>
          <w:b/>
          <w:i/>
          <w:u w:val="single"/>
        </w:rPr>
      </w:r>
      <w:r/>
    </w:p>
    <w:p>
      <w:pPr>
        <w:pStyle w:val="1044"/>
        <w:spacing w:line="440" w:lineRule="exact"/>
        <w:rPr>
          <w:rFonts w:hint="eastAsia" w:ascii="微软雅黑" w:hAnsi="微软雅黑" w:cs="微软雅黑"/>
        </w:rPr>
      </w:pPr>
      <w:r>
        <w:rPr>
          <w:rFonts w:hint="eastAsia" w:ascii="微软雅黑" w:hAnsi="微软雅黑" w:cs="微软雅黑"/>
        </w:rPr>
        <w:t xml:space="preserve">5.3.3 所谓偏离是指投标文件的内容高于或低于采购文件的相关要求。所谓重大负偏离是指供应商所响应的范围、质量、数量和服务期限等明显不能满足采购文件的要求。重大负偏离的认定须经多数评标委员会成员同意作出结论。</w:t>
      </w:r>
      <w:r>
        <w:rPr>
          <w:rFonts w:hint="eastAsia" w:ascii="微软雅黑" w:hAnsi="微软雅黑" w:cs="微软雅黑"/>
        </w:rPr>
      </w:r>
      <w:r/>
    </w:p>
    <w:p>
      <w:pPr>
        <w:pStyle w:val="1044"/>
        <w:spacing w:line="440" w:lineRule="exact"/>
        <w:rPr>
          <w:rFonts w:hint="eastAsia"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rPr>
          <w:rFonts w:hint="eastAsia" w:ascii="微软雅黑" w:hAnsi="微软雅黑" w:cs="微软雅黑"/>
          <w:b/>
          <w:i/>
          <w:u w:val="single"/>
        </w:rPr>
      </w:r>
      <w:r/>
    </w:p>
    <w:p>
      <w:pPr>
        <w:pStyle w:val="1044"/>
        <w:spacing w:line="440" w:lineRule="exact"/>
        <w:rPr>
          <w:rFonts w:hint="eastAsia" w:ascii="微软雅黑" w:hAnsi="微软雅黑" w:cs="微软雅黑"/>
        </w:rPr>
      </w:pPr>
      <w:r>
        <w:rPr>
          <w:rFonts w:hint="eastAsia" w:ascii="微软雅黑" w:hAnsi="微软雅黑" w:cs="微软雅黑"/>
        </w:rPr>
        <w:t xml:space="preserve">5.3.4 评标委员会在初审中，对算术错误的修正原则如下:</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（1）开标一览表内容与投标文件中明细表内容不一致的，以开标一览表为准；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（2）投标文件的大写金额和小写金额不一致的，以大写金额为准；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（3）总价金额与按单价汇总金额不一致的，以单价金额计算结果为准；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（4）单价金额小数点有明显错位的，以总价为准并修改单价；</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（5）若供应商不同意以上修正，该投标文件将视为无效。</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06" w:name="_Toc452384197"/>
      <w:r/>
      <w:bookmarkStart w:id="107" w:name="_Toc15868"/>
      <w:r>
        <w:rPr>
          <w:rFonts w:hint="eastAsia" w:ascii="微软雅黑" w:hAnsi="微软雅黑" w:cs="微软雅黑"/>
          <w:b/>
          <w:bCs w:val="0"/>
          <w:sz w:val="24"/>
          <w:szCs w:val="24"/>
        </w:rPr>
        <w:t xml:space="preserve">5.4 投标文件的澄清</w:t>
      </w:r>
      <w:bookmarkEnd w:id="106"/>
      <w:r/>
      <w:bookmarkEnd w:id="107"/>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5.4.2 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5.4.3 供应商不按评标委员会规定的时间和地点作书面澄清，将视为放弃该权利。</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5.4.4 并非每个供应商都将被要求澄清。</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08" w:name="_Toc14198"/>
      <w:r/>
      <w:bookmarkStart w:id="109" w:name="_Toc452384198"/>
      <w:r>
        <w:rPr>
          <w:rFonts w:hint="eastAsia" w:ascii="微软雅黑" w:hAnsi="微软雅黑" w:cs="微软雅黑"/>
          <w:b/>
          <w:bCs w:val="0"/>
          <w:sz w:val="24"/>
          <w:szCs w:val="24"/>
        </w:rPr>
        <w:t xml:space="preserve">5.5 评标及中标</w:t>
      </w:r>
      <w:bookmarkEnd w:id="108"/>
      <w:r/>
      <w:bookmarkEnd w:id="109"/>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5.5.1 评标委员会将对通过资格性审查和符合性审查的投标文件进行评价和比较。</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5.5.2 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5.5.3 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10" w:name="_Toc85"/>
      <w:r/>
      <w:bookmarkStart w:id="111" w:name="_Toc452384199"/>
      <w:r>
        <w:rPr>
          <w:rFonts w:hint="eastAsia" w:ascii="微软雅黑" w:hAnsi="微软雅黑" w:cs="微软雅黑"/>
          <w:b/>
          <w:bCs w:val="0"/>
          <w:sz w:val="24"/>
          <w:szCs w:val="24"/>
        </w:rPr>
        <w:t xml:space="preserve">5.6 评标过程保密</w:t>
      </w:r>
      <w:bookmarkEnd w:id="110"/>
      <w:r/>
      <w:bookmarkEnd w:id="111"/>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5.6.1 在宣布中标结果之前，凡属于审查、澄清、评价、比较投标文件和中标意向等有关信息，相关当事人均不得泄露给任何供应商或与评标工作无关的人员。</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5.6.2 供应商不得探听上述信息，不得以任何行为影响评标过程，否则其投标文件将被作无效处理。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5.6.3 在评标期间，采购代理机构将有专门人员与供应商进行联络。</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12" w:name="_Toc452384200"/>
      <w:r/>
      <w:bookmarkStart w:id="113" w:name="_Toc16453"/>
      <w:r>
        <w:rPr>
          <w:rFonts w:hint="eastAsia" w:ascii="微软雅黑" w:hAnsi="微软雅黑" w:cs="微软雅黑"/>
          <w:b/>
          <w:bCs w:val="0"/>
          <w:sz w:val="24"/>
          <w:szCs w:val="24"/>
        </w:rPr>
        <w:t xml:space="preserve">5.7 投标截止时间结束后参加供应商不足三家情况的处理</w:t>
      </w:r>
      <w:bookmarkEnd w:id="112"/>
      <w:r/>
      <w:bookmarkEnd w:id="113"/>
      <w:r>
        <w:rPr>
          <w:rFonts w:hint="eastAsia" w:ascii="微软雅黑" w:hAnsi="微软雅黑" w:cs="微软雅黑"/>
          <w:b/>
          <w:bCs w:val="0"/>
          <w:sz w:val="24"/>
          <w:szCs w:val="24"/>
        </w:rPr>
      </w:r>
      <w:r/>
    </w:p>
    <w:p>
      <w:pPr>
        <w:pStyle w:val="1044"/>
        <w:ind w:firstLine="315"/>
        <w:spacing w:line="440" w:lineRule="exact"/>
        <w:rPr>
          <w:rFonts w:hint="eastAsia"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14" w:name="_Toc16765"/>
      <w:r/>
      <w:bookmarkStart w:id="115" w:name="_Toc452384201"/>
      <w:r>
        <w:rPr>
          <w:rFonts w:hint="eastAsia" w:ascii="微软雅黑" w:hAnsi="微软雅黑" w:cs="微软雅黑"/>
          <w:b/>
          <w:bCs w:val="0"/>
          <w:sz w:val="24"/>
          <w:szCs w:val="24"/>
        </w:rPr>
        <w:t xml:space="preserve">5.8 废标（终止采购活动）</w:t>
      </w:r>
      <w:bookmarkEnd w:id="114"/>
      <w:r/>
      <w:bookmarkEnd w:id="115"/>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出现下列情形之一的，将予废标（终止采购活动）：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5.8.1 需要审批的项目符合专业条件的供应商或者对采购文件作实质响应的供应商不足三家的；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5.8.2 出现影响采购公正的违法、违规行为的；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5.8.3 供应商的报价均超过了采购预算，采购人不能支付的；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5.8.4 因重大变故，采购任务取消的。</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16" w:name="_Toc2213"/>
      <w:r>
        <w:rPr>
          <w:rFonts w:hint="eastAsia" w:ascii="微软雅黑" w:hAnsi="微软雅黑" w:cs="微软雅黑"/>
          <w:b/>
          <w:bCs w:val="0"/>
          <w:sz w:val="24"/>
          <w:szCs w:val="24"/>
        </w:rPr>
        <w:t xml:space="preserve">5.9 有下列情形之一的，视为投标供应商串通投标，其投标无效：</w:t>
      </w:r>
      <w:bookmarkEnd w:id="116"/>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5.9.1 不同投标供应商的投标文件由同一单位或者个人编制；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5.9.2 不同投标供应商委托同一单位或者个人办理投标事宜；</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5.9.3 不同投标供应商的投标文件载明的项目管理成员或者联系人员为同一人；</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5.9.4 不同投标供应商的投标文件异常一致或者投标报价呈规律性差异；</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5.9.5 不同投标供应商的投标文件相互混装;</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5.9.6 不同投标供应商的投标保证金从同一单位或者个人的账户转出。</w:t>
      </w:r>
      <w:r>
        <w:rPr>
          <w:rFonts w:hint="eastAsia" w:ascii="微软雅黑" w:hAnsi="微软雅黑" w:cs="微软雅黑"/>
        </w:rPr>
      </w:r>
      <w:r/>
    </w:p>
    <w:p>
      <w:pPr>
        <w:pStyle w:val="1046"/>
        <w:rPr>
          <w:rFonts w:hint="eastAsia" w:ascii="微软雅黑" w:hAnsi="微软雅黑" w:cs="微软雅黑"/>
        </w:rPr>
      </w:pPr>
      <w:r/>
      <w:bookmarkStart w:id="117" w:name="_Toc452384202"/>
      <w:r/>
      <w:bookmarkStart w:id="118" w:name="_Toc26862"/>
      <w:r>
        <w:rPr>
          <w:rFonts w:hint="eastAsia" w:ascii="微软雅黑" w:hAnsi="微软雅黑" w:cs="微软雅黑"/>
        </w:rPr>
        <w:t xml:space="preserve">六、合同授予及签订</w:t>
      </w:r>
      <w:bookmarkEnd w:id="117"/>
      <w:r/>
      <w:bookmarkEnd w:id="118"/>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19" w:name="_Toc9282"/>
      <w:r/>
      <w:bookmarkStart w:id="120" w:name="_Toc452384203"/>
      <w:r>
        <w:rPr>
          <w:rFonts w:hint="eastAsia" w:ascii="微软雅黑" w:hAnsi="微软雅黑" w:cs="微软雅黑"/>
          <w:b/>
          <w:bCs w:val="0"/>
          <w:sz w:val="24"/>
          <w:szCs w:val="24"/>
        </w:rPr>
        <w:t xml:space="preserve">6.1 确定中标、成交供应商</w:t>
      </w:r>
      <w:bookmarkEnd w:id="119"/>
      <w:r/>
      <w:bookmarkEnd w:id="120"/>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6.1.1 采购人严格按照本采购文件的约定和有关规定确定中标供应商。中标供应商将在原公告媒体上公示。</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6.1.2 评标结束后，如有必要采购人可以对评标委员会确定的中标候选供应商进行考察。</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6.1.3 供应商出现下列情况之一的，将被取消中标供应商资格，没收投标保证金：</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（5） 恶意竞争，投标总报价明显低于其自身合理成本且又无法提供证明的；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21" w:name="_Toc452384204"/>
      <w:r/>
      <w:bookmarkStart w:id="122" w:name="_Toc9581"/>
      <w:r>
        <w:rPr>
          <w:rFonts w:hint="eastAsia" w:ascii="微软雅黑" w:hAnsi="微软雅黑" w:cs="微软雅黑"/>
          <w:b/>
          <w:bCs w:val="0"/>
          <w:sz w:val="24"/>
          <w:szCs w:val="24"/>
        </w:rPr>
        <w:t xml:space="preserve">6.2 质疑处理</w:t>
      </w:r>
      <w:bookmarkEnd w:id="121"/>
      <w:r/>
      <w:bookmarkEnd w:id="122"/>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6.2.1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6.2.2 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6.2.4 质疑函应当包括下列内容：</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6.2.5 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23" w:name="_Toc452384205"/>
      <w:r/>
      <w:bookmarkStart w:id="124" w:name="_Toc29033"/>
      <w:r>
        <w:rPr>
          <w:rFonts w:hint="eastAsia" w:ascii="微软雅黑" w:hAnsi="微软雅黑" w:cs="微软雅黑"/>
          <w:b/>
          <w:bCs w:val="0"/>
          <w:sz w:val="24"/>
          <w:szCs w:val="24"/>
        </w:rPr>
        <w:t xml:space="preserve">6.3 中标通知书</w:t>
      </w:r>
      <w:bookmarkEnd w:id="123"/>
      <w:r/>
      <w:bookmarkEnd w:id="124"/>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6.3.1 确定中标供应商后,向中标供应商发出中标通知书。</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6.3.2 中标通知书是合同的组成部分。</w:t>
      </w: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125" w:name="_Toc9255"/>
      <w:r/>
      <w:bookmarkStart w:id="126" w:name="_Toc452384206"/>
      <w:r>
        <w:rPr>
          <w:rFonts w:hint="eastAsia" w:ascii="微软雅黑" w:hAnsi="微软雅黑" w:cs="微软雅黑"/>
          <w:b/>
          <w:bCs w:val="0"/>
          <w:sz w:val="24"/>
          <w:szCs w:val="24"/>
        </w:rPr>
        <w:t xml:space="preserve">6.4 签订合同</w:t>
      </w:r>
      <w:bookmarkEnd w:id="125"/>
      <w:r/>
      <w:bookmarkEnd w:id="126"/>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6.4.1 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6.4.2 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6.4.3 采购文件、中标供应商的投标文件及评标过程中有关澄清文件均应作为合同附件。</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6.4.4 签订合同后，中标供应商不得将工程、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rPr>
      </w:r>
      <w:r/>
    </w:p>
    <w:p>
      <w:pPr>
        <w:pStyle w:val="1044"/>
        <w:rPr>
          <w:rFonts w:hint="eastAsia" w:ascii="微软雅黑" w:hAnsi="微软雅黑" w:cs="微软雅黑"/>
          <w:szCs w:val="21"/>
        </w:rPr>
      </w:pPr>
      <w:r>
        <w:rPr>
          <w:rFonts w:hint="eastAsia" w:ascii="微软雅黑" w:hAnsi="微软雅黑" w:cs="微软雅黑"/>
          <w:szCs w:val="21"/>
        </w:rPr>
      </w:r>
      <w:r/>
    </w:p>
    <w:p>
      <w:pPr>
        <w:pStyle w:val="1045"/>
        <w:rPr>
          <w:rFonts w:hint="eastAsia" w:ascii="微软雅黑" w:hAnsi="微软雅黑" w:cs="微软雅黑"/>
        </w:rPr>
      </w:pPr>
      <w:r/>
      <w:bookmarkStart w:id="127" w:name="_Toc12748"/>
      <w:r/>
      <w:bookmarkStart w:id="128" w:name="_Toc30794"/>
      <w:r>
        <w:rPr>
          <w:rFonts w:hint="eastAsia" w:ascii="微软雅黑" w:hAnsi="微软雅黑" w:cs="微软雅黑"/>
        </w:rPr>
        <w:t xml:space="preserve">第三章 </w:t>
      </w:r>
      <w:bookmarkEnd w:id="127"/>
      <w:r>
        <w:rPr>
          <w:rFonts w:hint="eastAsia" w:ascii="微软雅黑" w:hAnsi="微软雅黑" w:cs="微软雅黑"/>
        </w:rPr>
        <w:t xml:space="preserve">评标办法和定标原则</w:t>
      </w:r>
      <w:bookmarkEnd w:id="128"/>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投标文件满足招标文件全部实质性要求，且按照评审因素的量化指标评审得分最高的投标供应商为中标人。评标委员会认为投标供应商的报价明显低于其他通过符合性审查投标供应商的报价，有可能影响服务质量或者不能诚信履约的，评标委员会有权要求其在评标现场合理的时间内提供书面说明，必要时提交相关证明材料；投标供应商不能证明其报价合理性的，评标委员会将其作为无效投标处理。</w:t>
      </w:r>
      <w:r>
        <w:rPr>
          <w:rFonts w:hint="eastAsia" w:ascii="微软雅黑" w:hAnsi="微软雅黑" w:cs="微软雅黑"/>
        </w:rPr>
      </w:r>
      <w:r/>
    </w:p>
    <w:p>
      <w:pPr>
        <w:pStyle w:val="1044"/>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1044"/>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投标报价是否超过预算</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44"/>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lang w:val="zh-CN"/>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rPr>
            </w:pPr>
            <w:r>
              <w:rPr>
                <w:rFonts w:hint="eastAsia" w:ascii="微软雅黑" w:hAnsi="微软雅黑" w:cs="微软雅黑"/>
                <w:lang w:val="zh-CN"/>
              </w:rPr>
              <w:t xml:space="preserve">投标文件的完整性（</w:t>
            </w:r>
            <w:r>
              <w:rPr>
                <w:rFonts w:hint="eastAsia" w:ascii="微软雅黑" w:hAnsi="微软雅黑" w:cs="微软雅黑"/>
              </w:rPr>
              <w:t xml:space="preserve">1正4副，电子文件1份</w:t>
            </w:r>
            <w:r>
              <w:rPr>
                <w:rFonts w:hint="eastAsia" w:ascii="微软雅黑" w:hAnsi="微软雅黑" w:cs="微软雅黑"/>
                <w:lang w:val="zh-CN"/>
              </w:rPr>
              <w:t xml:space="preserve">）</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6</w:t>
            </w:r>
            <w:r>
              <w:rPr>
                <w:rFonts w:hint="eastAsia" w:ascii="微软雅黑" w:hAnsi="微软雅黑" w:cs="微软雅黑"/>
                <w:lang w:val="zh-CN"/>
              </w:rPr>
              <w:t xml:space="preserve">)</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4"/>
              <w:jc w:val="center"/>
              <w:spacing w:line="440" w:lineRule="exact"/>
              <w:rPr>
                <w:rFonts w:hint="eastAsia" w:ascii="微软雅黑" w:hAnsi="微软雅黑" w:cs="微软雅黑"/>
                <w:lang w:val="zh-CN"/>
              </w:rPr>
            </w:pPr>
            <w:r>
              <w:rPr>
                <w:rFonts w:hint="eastAsia" w:ascii="微软雅黑" w:hAnsi="微软雅黑" w:cs="微软雅黑"/>
              </w:rPr>
              <w:t xml:space="preserve">4</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pStyle w:val="1044"/>
              <w:jc w:val="center"/>
              <w:spacing w:line="440" w:lineRule="exact"/>
              <w:rPr>
                <w:rFonts w:hint="eastAsia" w:ascii="微软雅黑" w:hAnsi="微软雅黑" w:cs="微软雅黑"/>
              </w:rPr>
            </w:pPr>
            <w:r/>
            <w:bookmarkStart w:id="129" w:name="_Hlk72848049"/>
            <w:r>
              <w:rPr>
                <w:rFonts w:hint="eastAsia" w:ascii="微软雅黑" w:hAnsi="微软雅黑" w:cs="微软雅黑"/>
              </w:rPr>
              <w:t xml:space="preserve">5</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工程量清单及暂估价、暂列金额及甲供材料价格：</w:t>
            </w:r>
            <w:r>
              <w:rPr>
                <w:rFonts w:hint="eastAsia" w:ascii="微软雅黑" w:hAnsi="微软雅黑" w:cs="微软雅黑"/>
                <w:lang w:val="zh-CN"/>
              </w:rPr>
            </w:r>
            <w:r/>
          </w:p>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1、与招标文件提供的工程量清单中的项目编码、项目名称、项目特征、计量单位、工程量一致（措施项目增项除外）；</w:t>
            </w:r>
            <w:r>
              <w:rPr>
                <w:rFonts w:hint="eastAsia" w:ascii="微软雅黑" w:hAnsi="微软雅黑" w:cs="微软雅黑"/>
                <w:lang w:val="zh-CN"/>
              </w:rPr>
            </w:r>
            <w:r/>
          </w:p>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2、与招标文件规定的暂估价、暂列金额及甲供材料价格一致；</w:t>
            </w:r>
            <w:r>
              <w:rPr>
                <w:rFonts w:hint="eastAsia" w:ascii="微软雅黑" w:hAnsi="微软雅黑" w:cs="微软雅黑"/>
                <w:lang w:val="zh-CN"/>
              </w:rPr>
            </w:r>
            <w:r/>
          </w:p>
          <w:p>
            <w:pPr>
              <w:pStyle w:val="1044"/>
              <w:spacing w:line="440" w:lineRule="exact"/>
              <w:rPr>
                <w:rFonts w:hint="eastAsia" w:ascii="微软雅黑" w:hAnsi="微软雅黑" w:cs="微软雅黑"/>
                <w:lang w:val="zh-CN"/>
              </w:rPr>
            </w:pPr>
            <w:r>
              <w:rPr>
                <w:rFonts w:hint="eastAsia" w:ascii="微软雅黑" w:hAnsi="微软雅黑" w:cs="微软雅黑"/>
                <w:lang w:val="zh-CN"/>
              </w:rPr>
              <w:t xml:space="preserve">3、与招标文件明确列出的不可竞争费用项目或费率或计算基础一致</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4"/>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44"/>
        <w:spacing w:line="440" w:lineRule="exact"/>
        <w:rPr>
          <w:rFonts w:hint="eastAsia" w:ascii="微软雅黑" w:hAnsi="微软雅黑" w:cs="微软雅黑"/>
          <w:b/>
          <w:bCs/>
        </w:rPr>
      </w:pPr>
      <w:r>
        <w:rPr>
          <w:rFonts w:hint="eastAsia" w:ascii="微软雅黑" w:hAnsi="微软雅黑" w:cs="微软雅黑"/>
          <w:b/>
          <w:bCs/>
        </w:rPr>
        <w:t xml:space="preserve">（三）评分因素及分值</w:t>
      </w:r>
      <w:r>
        <w:rPr>
          <w:rFonts w:hint="eastAsia" w:ascii="微软雅黑" w:hAnsi="微软雅黑" w:cs="微软雅黑"/>
          <w:b/>
          <w:bCs/>
        </w:rPr>
      </w:r>
      <w:r/>
    </w:p>
    <w:tbl>
      <w:tblPr>
        <w:tblW w:w="0" w:type="auto"/>
        <w:tblInd w:w="-341" w:type="dxa"/>
        <w:tblLayout w:type="fixed"/>
        <w:tblCellMar>
          <w:left w:w="108" w:type="dxa"/>
          <w:top w:w="0" w:type="dxa"/>
          <w:right w:w="108" w:type="dxa"/>
          <w:bottom w:w="0" w:type="dxa"/>
        </w:tblCellMar>
        <w:tblLook w:val="04A0" w:firstRow="1" w:lastRow="0" w:firstColumn="1" w:lastColumn="0" w:noHBand="0" w:noVBand="1"/>
      </w:tblPr>
      <w:tblGrid>
        <w:gridCol w:w="550"/>
        <w:gridCol w:w="888"/>
        <w:gridCol w:w="6829"/>
        <w:gridCol w:w="463"/>
      </w:tblGrid>
      <w:tr>
        <w:trP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1044"/>
              <w:jc w:val="center"/>
              <w:spacing w:line="440" w:lineRule="exact"/>
              <w:widowControl/>
              <w:rPr>
                <w:rFonts w:hint="eastAsia" w:ascii="微软雅黑" w:hAnsi="微软雅黑" w:cs="微软雅黑"/>
                <w:szCs w:val="21"/>
              </w:rPr>
            </w:pPr>
            <w:r/>
            <w:bookmarkEnd w:id="129"/>
            <w:r>
              <w:rPr>
                <w:rFonts w:hint="eastAsia" w:ascii="微软雅黑" w:hAnsi="微软雅黑" w:cs="微软雅黑"/>
                <w:szCs w:val="21"/>
                <w:lang w:bidi="ar"/>
              </w:rPr>
              <w:t xml:space="preserve">序号</w:t>
            </w:r>
            <w:r>
              <w:rPr>
                <w:rFonts w:hint="eastAsia" w:ascii="微软雅黑" w:hAnsi="微软雅黑" w:cs="微软雅黑"/>
                <w:szCs w:val="21"/>
              </w:rPr>
            </w:r>
            <w:r/>
          </w:p>
        </w:tc>
        <w:tc>
          <w:tcPr>
            <w:tcBorders>
              <w:top w:val="single" w:color="000000" w:sz="4" w:space="0"/>
              <w:left w:val="none" w:color="000000" w:sz="4" w:space="0"/>
              <w:bottom w:val="single" w:color="000000" w:sz="4" w:space="0"/>
              <w:right w:val="single" w:color="000000" w:sz="4" w:space="0"/>
            </w:tcBorders>
            <w:tcW w:w="888" w:type="dxa"/>
            <w:vAlign w:val="center"/>
            <w:textDirection w:val="lrTb"/>
            <w:noWrap w:val="false"/>
          </w:tcPr>
          <w:p>
            <w:pPr>
              <w:pStyle w:val="1044"/>
              <w:jc w:val="center"/>
              <w:spacing w:line="440" w:lineRule="exact"/>
              <w:widowControl/>
              <w:rPr>
                <w:rFonts w:hint="eastAsia" w:ascii="微软雅黑" w:hAnsi="微软雅黑" w:cs="微软雅黑"/>
                <w:b/>
                <w:bCs/>
                <w:szCs w:val="21"/>
              </w:rPr>
            </w:pPr>
            <w:r>
              <w:rPr>
                <w:rFonts w:hint="eastAsia" w:ascii="微软雅黑" w:hAnsi="微软雅黑" w:cs="微软雅黑"/>
                <w:b/>
                <w:bCs/>
                <w:szCs w:val="21"/>
                <w:lang w:bidi="ar"/>
              </w:rPr>
              <w:t xml:space="preserve">评分因素</w:t>
            </w: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center"/>
              <w:spacing w:line="440" w:lineRule="exact"/>
              <w:widowControl/>
              <w:rPr>
                <w:rFonts w:hint="eastAsia" w:ascii="微软雅黑" w:hAnsi="微软雅黑" w:cs="微软雅黑"/>
                <w:b/>
                <w:bCs/>
                <w:szCs w:val="21"/>
              </w:rPr>
            </w:pPr>
            <w:r>
              <w:rPr>
                <w:rFonts w:hint="eastAsia" w:ascii="微软雅黑" w:hAnsi="微软雅黑" w:cs="微软雅黑"/>
                <w:b/>
                <w:bCs/>
                <w:szCs w:val="21"/>
                <w:lang w:bidi="ar"/>
              </w:rPr>
              <w:t xml:space="preserve">评分标准</w:t>
            </w:r>
            <w:r>
              <w:rPr>
                <w:rFonts w:hint="eastAsia" w:ascii="微软雅黑" w:hAnsi="微软雅黑" w:cs="微软雅黑"/>
                <w:b/>
                <w:bCs/>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cs="微软雅黑"/>
                <w:b/>
                <w:bCs/>
                <w:szCs w:val="21"/>
              </w:rPr>
            </w:pPr>
            <w:r>
              <w:rPr>
                <w:rFonts w:hint="eastAsia" w:ascii="微软雅黑" w:hAnsi="微软雅黑" w:cs="微软雅黑"/>
                <w:b/>
                <w:bCs/>
                <w:szCs w:val="21"/>
                <w:lang w:bidi="ar"/>
              </w:rPr>
              <w:t xml:space="preserve">分值</w:t>
            </w:r>
            <w:r>
              <w:rPr>
                <w:rFonts w:hint="eastAsia" w:ascii="微软雅黑" w:hAnsi="微软雅黑" w:cs="微软雅黑"/>
                <w:b/>
                <w:bCs/>
                <w:szCs w:val="21"/>
              </w:rPr>
            </w:r>
            <w:r/>
          </w:p>
        </w:tc>
      </w:tr>
      <w:tr>
        <w:trPr>
          <w:trHeight w:val="1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1</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价格分</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价格分采用低价优先法计算，即满足采购文件要求且报价最低的投标人报价为评标基准价，其价格分为满分30分，其它投标人的价格分统一按照以下公式计算：投标报价得分=(评标基准价/该投标人的投标报价)×30分（保留小数点后两位）。</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30</w:t>
            </w:r>
            <w:r>
              <w:rPr>
                <w:rFonts w:hint="eastAsia" w:ascii="微软雅黑" w:hAnsi="微软雅黑" w:cs="微软雅黑"/>
                <w:szCs w:val="21"/>
              </w:rPr>
            </w:r>
            <w:r/>
          </w:p>
        </w:tc>
      </w:tr>
      <w:tr>
        <w:trPr>
          <w:trHeight w:val="372"/>
        </w:trPr>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2</w:t>
            </w:r>
            <w:r>
              <w:rPr>
                <w:rFonts w:hint="eastAsia" w:ascii="微软雅黑" w:hAnsi="微软雅黑" w:cs="微软雅黑"/>
                <w:szCs w:val="21"/>
              </w:rPr>
            </w:r>
            <w:r/>
          </w:p>
        </w:tc>
        <w:tc>
          <w:tcPr>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业绩证明材料</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lang w:bidi="ar"/>
              </w:rPr>
              <w:t xml:space="preserve">投标人自202</w:t>
            </w:r>
            <w:r>
              <w:rPr>
                <w:rFonts w:hint="eastAsia" w:ascii="微软雅黑" w:hAnsi="微软雅黑" w:cs="微软雅黑"/>
                <w:color w:val="000000"/>
                <w:szCs w:val="21"/>
                <w:lang w:val="en-US" w:eastAsia="zh-CN" w:bidi="ar"/>
              </w:rPr>
              <w:t xml:space="preserve">1</w:t>
            </w:r>
            <w:r>
              <w:rPr>
                <w:rFonts w:hint="eastAsia" w:ascii="微软雅黑" w:hAnsi="微软雅黑" w:cs="微软雅黑"/>
                <w:color w:val="000000"/>
                <w:szCs w:val="21"/>
                <w:lang w:bidi="ar"/>
              </w:rPr>
              <w:t xml:space="preserve">年</w:t>
            </w:r>
            <w:r>
              <w:rPr>
                <w:rFonts w:hint="eastAsia" w:ascii="微软雅黑" w:hAnsi="微软雅黑" w:cs="微软雅黑"/>
                <w:color w:val="000000"/>
                <w:szCs w:val="21"/>
                <w:lang w:val="en-US" w:eastAsia="zh-CN" w:bidi="ar"/>
              </w:rPr>
              <w:t xml:space="preserve">03</w:t>
            </w:r>
            <w:r>
              <w:rPr>
                <w:rFonts w:hint="eastAsia" w:ascii="微软雅黑" w:hAnsi="微软雅黑" w:cs="微软雅黑"/>
                <w:color w:val="000000"/>
                <w:szCs w:val="21"/>
                <w:lang w:bidi="ar"/>
              </w:rPr>
              <w:t xml:space="preserve">月01日以来承担过类似变配电项目业绩或供配电工程业绩，每提供一份得2分，最多得</w:t>
            </w:r>
            <w:r>
              <w:rPr>
                <w:rFonts w:hint="eastAsia" w:ascii="微软雅黑" w:hAnsi="微软雅黑" w:cs="微软雅黑"/>
                <w:color w:val="000000"/>
                <w:szCs w:val="21"/>
                <w:lang w:val="en-US" w:eastAsia="zh-CN" w:bidi="ar"/>
              </w:rPr>
              <w:t xml:space="preserve">6</w:t>
            </w:r>
            <w:r>
              <w:rPr>
                <w:rFonts w:hint="eastAsia" w:ascii="微软雅黑" w:hAnsi="微软雅黑" w:cs="微软雅黑"/>
                <w:color w:val="000000"/>
                <w:szCs w:val="21"/>
                <w:lang w:bidi="ar"/>
              </w:rPr>
              <w:t xml:space="preserve">分。（提供中标通知书和合同协议书及其项下设备交货验收证明材料或完工证明或使用合格证，时间以合同为准，提供证明材料复印件并加盖公章）。</w:t>
            </w:r>
            <w:r>
              <w:rPr>
                <w:rFonts w:hint="eastAsia" w:ascii="微软雅黑" w:hAnsi="微软雅黑" w:cs="微软雅黑"/>
                <w:color w:val="000000"/>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eastAsia="微软雅黑" w:cs="微软雅黑"/>
                <w:szCs w:val="21"/>
                <w:lang w:eastAsia="zh-CN"/>
              </w:rPr>
            </w:pPr>
            <w:r>
              <w:rPr>
                <w:rFonts w:hint="eastAsia" w:ascii="微软雅黑" w:hAnsi="微软雅黑" w:cs="微软雅黑"/>
                <w:szCs w:val="21"/>
                <w:lang w:val="en-US" w:eastAsia="zh-CN" w:bidi="ar"/>
              </w:rPr>
              <w:t xml:space="preserve">6</w:t>
            </w:r>
            <w:r>
              <w:rPr>
                <w:rFonts w:hint="eastAsia" w:ascii="微软雅黑" w:hAnsi="微软雅黑" w:eastAsia="微软雅黑" w:cs="微软雅黑"/>
                <w:szCs w:val="21"/>
                <w:lang w:eastAsia="zh-CN"/>
              </w:rPr>
            </w:r>
            <w:r/>
          </w:p>
        </w:tc>
      </w:tr>
      <w:tr>
        <w:trPr>
          <w:trHeight w:val="372"/>
        </w:trPr>
        <w:tc>
          <w:tcPr>
            <w:tcBorders>
              <w:top w:val="none" w:color="000000" w:sz="0" w:space="0"/>
              <w:left w:val="single" w:color="000000" w:sz="4" w:space="0"/>
              <w:bottom w:val="none" w:color="000000" w:sz="0" w:space="0"/>
              <w:right w:val="single" w:color="000000" w:sz="4" w:space="0"/>
            </w:tcBorders>
            <w:tcW w:w="550"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lang w:bidi="ar"/>
              </w:rPr>
            </w:pPr>
            <w:r>
              <w:rPr>
                <w:rFonts w:hint="eastAsia" w:ascii="微软雅黑" w:hAnsi="微软雅黑" w:cs="微软雅黑"/>
                <w:szCs w:val="21"/>
                <w:lang w:bidi="ar"/>
              </w:rPr>
            </w:r>
            <w:r/>
          </w:p>
        </w:tc>
        <w:tc>
          <w:tcPr>
            <w:tcBorders>
              <w:top w:val="none" w:color="000000" w:sz="0" w:space="0"/>
              <w:left w:val="single" w:color="000000" w:sz="4" w:space="0"/>
              <w:bottom w:val="none" w:color="000000" w:sz="0" w:space="0"/>
              <w:right w:val="single" w:color="000000" w:sz="4" w:space="0"/>
            </w:tcBorders>
            <w:tcW w:w="888"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lang w:bidi="ar"/>
              </w:rPr>
            </w:pPr>
            <w:r>
              <w:rPr>
                <w:rFonts w:hint="eastAsia" w:ascii="微软雅黑" w:hAnsi="微软雅黑" w:cs="微软雅黑"/>
                <w:szCs w:val="21"/>
                <w:lang w:bidi="ar"/>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color w:val="000000"/>
              </w:rPr>
            </w:pPr>
            <w:r>
              <w:rPr>
                <w:rFonts w:hint="eastAsia" w:ascii="微软雅黑" w:hAnsi="微软雅黑" w:cs="微软雅黑"/>
                <w:color w:val="000000"/>
                <w:szCs w:val="21"/>
                <w:lang w:val="en-US" w:eastAsia="zh-CN" w:bidi="ar"/>
              </w:rPr>
              <w:t xml:space="preserve">拟投入本项目的项目负责人</w:t>
            </w:r>
            <w:r>
              <w:rPr>
                <w:rFonts w:hint="eastAsia" w:ascii="微软雅黑" w:hAnsi="微软雅黑" w:cs="微软雅黑"/>
                <w:color w:val="000000"/>
                <w:szCs w:val="21"/>
                <w:lang w:bidi="ar"/>
              </w:rPr>
              <w:t xml:space="preserve">自202</w:t>
            </w:r>
            <w:r>
              <w:rPr>
                <w:rFonts w:hint="eastAsia" w:ascii="微软雅黑" w:hAnsi="微软雅黑" w:cs="微软雅黑"/>
                <w:color w:val="000000"/>
                <w:szCs w:val="21"/>
                <w:lang w:val="en-US" w:eastAsia="zh-CN" w:bidi="ar"/>
              </w:rPr>
              <w:t xml:space="preserve">1</w:t>
            </w:r>
            <w:r>
              <w:rPr>
                <w:rFonts w:hint="eastAsia" w:ascii="微软雅黑" w:hAnsi="微软雅黑" w:cs="微软雅黑"/>
                <w:color w:val="000000"/>
                <w:szCs w:val="21"/>
                <w:lang w:bidi="ar"/>
              </w:rPr>
              <w:t xml:space="preserve">年</w:t>
            </w:r>
            <w:r>
              <w:rPr>
                <w:rFonts w:hint="eastAsia" w:ascii="微软雅黑" w:hAnsi="微软雅黑" w:cs="微软雅黑"/>
                <w:color w:val="000000"/>
                <w:szCs w:val="21"/>
                <w:lang w:val="en-US" w:eastAsia="zh-CN" w:bidi="ar"/>
              </w:rPr>
              <w:t xml:space="preserve">03</w:t>
            </w:r>
            <w:r>
              <w:rPr>
                <w:rFonts w:hint="eastAsia" w:ascii="微软雅黑" w:hAnsi="微软雅黑" w:cs="微软雅黑"/>
                <w:color w:val="000000"/>
                <w:szCs w:val="21"/>
                <w:lang w:bidi="ar"/>
              </w:rPr>
              <w:t xml:space="preserve">月01日以来承担过类似变配电项目业绩或供配电工程业绩，每提供一份得2分，最多得</w:t>
            </w:r>
            <w:r>
              <w:rPr>
                <w:rFonts w:hint="eastAsia" w:ascii="微软雅黑" w:hAnsi="微软雅黑" w:cs="微软雅黑"/>
                <w:color w:val="000000"/>
                <w:szCs w:val="21"/>
                <w:lang w:val="en-US" w:eastAsia="zh-CN" w:bidi="ar"/>
              </w:rPr>
              <w:t xml:space="preserve">6</w:t>
            </w:r>
            <w:r>
              <w:rPr>
                <w:rFonts w:hint="eastAsia" w:ascii="微软雅黑" w:hAnsi="微软雅黑" w:cs="微软雅黑"/>
                <w:color w:val="000000"/>
                <w:szCs w:val="21"/>
                <w:lang w:bidi="ar"/>
              </w:rPr>
              <w:t xml:space="preserve">分。（提供中标通知书和合同协议书及其项下设备交货验收证明材料或完工证明或使用合格证，时间以合同为准，提供证明材料复印件并加盖公章）。</w:t>
            </w:r>
            <w:r>
              <w:rPr>
                <w:color w:val="000000"/>
              </w:rPr>
            </w:r>
            <w:r/>
          </w:p>
          <w:p>
            <w:pPr>
              <w:pStyle w:val="1044"/>
              <w:jc w:val="left"/>
              <w:spacing w:line="440" w:lineRule="exact"/>
              <w:widowControl/>
              <w:rPr>
                <w:rFonts w:eastAsia="微软雅黑"/>
                <w:color w:val="000000"/>
                <w:lang w:val="en-US" w:eastAsia="zh-CN"/>
              </w:rPr>
            </w:pPr>
            <w:r>
              <w:rPr>
                <w:rFonts w:hint="eastAsia"/>
                <w:color w:val="000000"/>
                <w:lang w:val="en-US" w:eastAsia="zh-CN"/>
              </w:rPr>
              <w:t xml:space="preserve">企业业绩和项目经理业绩不可兼得。</w:t>
            </w:r>
            <w:r>
              <w:rPr>
                <w:rFonts w:eastAsia="微软雅黑"/>
                <w:color w:val="000000"/>
                <w:lang w:val="en-US" w:eastAsia="zh-CN"/>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eastAsia="微软雅黑" w:cs="微软雅黑"/>
                <w:sz w:val="21"/>
                <w:szCs w:val="21"/>
                <w:lang w:val="en-US" w:eastAsia="zh-CN" w:bidi="ar-SA"/>
              </w:rPr>
            </w:pPr>
            <w:r>
              <w:rPr>
                <w:rFonts w:hint="eastAsia" w:ascii="微软雅黑" w:hAnsi="微软雅黑" w:cs="微软雅黑"/>
                <w:szCs w:val="21"/>
                <w:lang w:val="en-US" w:eastAsia="zh-CN" w:bidi="ar"/>
              </w:rPr>
              <w:t xml:space="preserve">6</w:t>
            </w:r>
            <w:r>
              <w:rPr>
                <w:rFonts w:hint="eastAsia" w:ascii="微软雅黑" w:hAnsi="微软雅黑" w:eastAsia="微软雅黑" w:cs="微软雅黑"/>
                <w:sz w:val="21"/>
                <w:szCs w:val="21"/>
                <w:lang w:val="en-US" w:eastAsia="zh-CN" w:bidi="ar-SA"/>
              </w:rPr>
            </w:r>
            <w:r/>
          </w:p>
        </w:tc>
      </w:tr>
      <w:tr>
        <w:trPr>
          <w:trHeight w:val="1000"/>
        </w:trPr>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pStyle w:val="1044"/>
              <w:jc w:val="center"/>
              <w:spacing w:line="440" w:lineRule="exact"/>
              <w:widowControl/>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w:t>
            </w:r>
            <w:r>
              <w:rPr>
                <w:rFonts w:hint="eastAsia" w:ascii="微软雅黑" w:hAnsi="微软雅黑" w:eastAsia="微软雅黑" w:cs="微软雅黑"/>
                <w:szCs w:val="21"/>
                <w:lang w:eastAsia="zh-CN"/>
              </w:rPr>
            </w:r>
            <w:r/>
          </w:p>
        </w:tc>
        <w:tc>
          <w:tcPr>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rPr>
                <w:rFonts w:hint="eastAsia" w:ascii="微软雅黑" w:hAnsi="微软雅黑" w:cs="微软雅黑"/>
                <w:b/>
                <w:szCs w:val="21"/>
              </w:rPr>
            </w:pPr>
            <w:r>
              <w:rPr>
                <w:rFonts w:hint="eastAsia" w:ascii="微软雅黑" w:hAnsi="微软雅黑" w:cs="微软雅黑"/>
                <w:b/>
                <w:szCs w:val="21"/>
              </w:rPr>
              <w:t xml:space="preserve">拟投入本项目人员情况</w:t>
            </w:r>
            <w:r>
              <w:rPr>
                <w:rFonts w:hint="eastAsia" w:ascii="微软雅黑" w:hAnsi="微软雅黑" w:cs="微软雅黑"/>
                <w:b/>
                <w:szCs w:val="21"/>
              </w:rPr>
            </w:r>
            <w:r/>
          </w:p>
          <w:p>
            <w:pPr>
              <w:pStyle w:val="1063"/>
              <w:spacing w:line="440" w:lineRule="exact"/>
              <w:rPr>
                <w:rFonts w:ascii="微软雅黑" w:hAnsi="微软雅黑" w:eastAsia="微软雅黑" w:cs="微软雅黑"/>
                <w:b/>
                <w:sz w:val="21"/>
                <w:lang w:val="en-US" w:eastAsia="zh-CN"/>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eastAsia="zh-CN"/>
              </w:rPr>
              <w:t xml:space="preserve">项目</w:t>
            </w:r>
            <w:r>
              <w:rPr>
                <w:rFonts w:hint="eastAsia" w:ascii="微软雅黑" w:hAnsi="微软雅黑" w:eastAsia="微软雅黑" w:cs="微软雅黑"/>
                <w:b/>
                <w:sz w:val="21"/>
              </w:rPr>
              <w:t xml:space="preserve">负责人（</w:t>
            </w:r>
            <w:r>
              <w:rPr>
                <w:rFonts w:hint="eastAsia" w:ascii="微软雅黑" w:hAnsi="微软雅黑" w:eastAsia="微软雅黑" w:cs="微软雅黑"/>
                <w:b/>
                <w:sz w:val="21"/>
                <w:lang w:val="en-US" w:eastAsia="zh-CN"/>
              </w:rPr>
              <w:t xml:space="preserve">5</w:t>
            </w:r>
            <w:r>
              <w:rPr>
                <w:rFonts w:hint="eastAsia" w:ascii="微软雅黑" w:hAnsi="微软雅黑" w:eastAsia="微软雅黑" w:cs="微软雅黑"/>
                <w:b/>
                <w:sz w:val="21"/>
              </w:rPr>
              <w:t xml:space="preserve">分）：</w:t>
            </w:r>
            <w:r>
              <w:rPr>
                <w:rFonts w:hint="eastAsia" w:ascii="微软雅黑" w:hAnsi="微软雅黑" w:eastAsia="微软雅黑" w:cs="微软雅黑"/>
                <w:sz w:val="21"/>
              </w:rPr>
              <w:t xml:space="preserve">投标人提供的</w:t>
            </w:r>
            <w:r>
              <w:rPr>
                <w:rFonts w:hint="eastAsia" w:ascii="微软雅黑" w:hAnsi="微软雅黑" w:eastAsia="微软雅黑" w:cs="微软雅黑"/>
                <w:sz w:val="21"/>
                <w:lang w:val="en-US" w:eastAsia="zh-CN"/>
              </w:rPr>
              <w:t xml:space="preserve">项目</w:t>
            </w:r>
            <w:r>
              <w:rPr>
                <w:rFonts w:hint="eastAsia" w:ascii="微软雅黑" w:hAnsi="微软雅黑" w:eastAsia="微软雅黑" w:cs="微软雅黑"/>
                <w:sz w:val="21"/>
              </w:rPr>
              <w:t xml:space="preserve">负责人具有</w:t>
            </w:r>
            <w:r>
              <w:rPr>
                <w:rFonts w:hint="eastAsia" w:ascii="微软雅黑" w:hAnsi="微软雅黑" w:eastAsia="微软雅黑" w:cs="微软雅黑"/>
                <w:sz w:val="21"/>
                <w:lang w:val="en-US" w:eastAsia="zh-CN"/>
              </w:rPr>
              <w:t xml:space="preserve">电气工程相关专业</w:t>
            </w:r>
            <w:r>
              <w:rPr>
                <w:rFonts w:hint="eastAsia" w:ascii="微软雅黑" w:hAnsi="微软雅黑" w:eastAsia="微软雅黑" w:cs="微软雅黑"/>
                <w:sz w:val="21"/>
              </w:rPr>
              <w:t xml:space="preserve">高级职称</w:t>
            </w:r>
            <w:r>
              <w:rPr>
                <w:rFonts w:hint="eastAsia" w:ascii="微软雅黑" w:hAnsi="微软雅黑" w:eastAsia="微软雅黑" w:cs="微软雅黑"/>
                <w:sz w:val="21"/>
                <w:lang w:val="en-US" w:eastAsia="zh-CN"/>
              </w:rPr>
              <w:t xml:space="preserve">的</w:t>
            </w:r>
            <w:r>
              <w:rPr>
                <w:rFonts w:hint="eastAsia" w:ascii="微软雅黑" w:hAnsi="微软雅黑" w:eastAsia="微软雅黑" w:cs="微软雅黑"/>
                <w:sz w:val="21"/>
              </w:rPr>
              <w:t xml:space="preserve">，得</w:t>
            </w:r>
            <w:r>
              <w:rPr>
                <w:rFonts w:hint="eastAsia" w:ascii="微软雅黑" w:hAnsi="微软雅黑" w:eastAsia="微软雅黑" w:cs="微软雅黑"/>
                <w:sz w:val="21"/>
                <w:lang w:val="en-US" w:eastAsia="zh-CN"/>
              </w:rPr>
              <w:t xml:space="preserve">5</w:t>
            </w:r>
            <w:r>
              <w:rPr>
                <w:rFonts w:hint="eastAsia" w:ascii="微软雅黑" w:hAnsi="微软雅黑" w:eastAsia="微软雅黑" w:cs="微软雅黑"/>
                <w:sz w:val="21"/>
              </w:rPr>
              <w:t xml:space="preserve">分；</w:t>
            </w:r>
            <w:r>
              <w:rPr>
                <w:rFonts w:hint="eastAsia" w:ascii="微软雅黑" w:hAnsi="微软雅黑" w:eastAsia="微软雅黑" w:cs="微软雅黑"/>
                <w:sz w:val="21"/>
                <w:lang w:val="en-US" w:eastAsia="zh-CN"/>
              </w:rPr>
              <w:t xml:space="preserve">具有电气工程相关专业中</w:t>
            </w:r>
            <w:r>
              <w:rPr>
                <w:rFonts w:hint="eastAsia" w:ascii="微软雅黑" w:hAnsi="微软雅黑" w:eastAsia="微软雅黑" w:cs="微软雅黑"/>
                <w:sz w:val="21"/>
              </w:rPr>
              <w:t xml:space="preserve">级职称</w:t>
            </w:r>
            <w:r>
              <w:rPr>
                <w:rFonts w:hint="eastAsia" w:ascii="微软雅黑" w:hAnsi="微软雅黑" w:eastAsia="微软雅黑" w:cs="微软雅黑"/>
                <w:sz w:val="21"/>
                <w:lang w:val="en-US" w:eastAsia="zh-CN"/>
              </w:rPr>
              <w:t xml:space="preserve">的</w:t>
            </w:r>
            <w:r>
              <w:rPr>
                <w:rFonts w:hint="eastAsia" w:ascii="微软雅黑" w:hAnsi="微软雅黑" w:eastAsia="微软雅黑" w:cs="微软雅黑"/>
                <w:sz w:val="21"/>
              </w:rPr>
              <w:t xml:space="preserve">，得</w:t>
            </w:r>
            <w:r>
              <w:rPr>
                <w:rFonts w:hint="eastAsia" w:ascii="微软雅黑" w:hAnsi="微软雅黑" w:eastAsia="微软雅黑" w:cs="微软雅黑"/>
                <w:sz w:val="21"/>
                <w:lang w:val="en-US" w:eastAsia="zh-CN"/>
              </w:rPr>
              <w:t xml:space="preserve">3</w:t>
            </w:r>
            <w:r>
              <w:rPr>
                <w:rFonts w:hint="eastAsia" w:ascii="微软雅黑" w:hAnsi="微软雅黑" w:eastAsia="微软雅黑" w:cs="微软雅黑"/>
                <w:sz w:val="21"/>
              </w:rPr>
              <w:t xml:space="preserve">分；</w:t>
            </w:r>
            <w:r>
              <w:rPr>
                <w:rFonts w:hint="eastAsia" w:ascii="微软雅黑" w:hAnsi="微软雅黑" w:eastAsia="微软雅黑" w:cs="微软雅黑"/>
                <w:sz w:val="21"/>
                <w:lang w:val="en-US" w:eastAsia="zh-CN"/>
              </w:rPr>
              <w:t xml:space="preserve">具有电气工程相关专业初级</w:t>
            </w:r>
            <w:r>
              <w:rPr>
                <w:rFonts w:hint="eastAsia" w:ascii="微软雅黑" w:hAnsi="微软雅黑" w:eastAsia="微软雅黑" w:cs="微软雅黑"/>
                <w:sz w:val="21"/>
              </w:rPr>
              <w:t xml:space="preserve">职称</w:t>
            </w:r>
            <w:r>
              <w:rPr>
                <w:rFonts w:hint="eastAsia" w:ascii="微软雅黑" w:hAnsi="微软雅黑" w:eastAsia="微软雅黑" w:cs="微软雅黑"/>
                <w:sz w:val="21"/>
                <w:lang w:val="en-US" w:eastAsia="zh-CN"/>
              </w:rPr>
              <w:t xml:space="preserve">的</w:t>
            </w:r>
            <w:r>
              <w:rPr>
                <w:rFonts w:hint="eastAsia" w:ascii="微软雅黑" w:hAnsi="微软雅黑" w:eastAsia="微软雅黑" w:cs="微软雅黑"/>
                <w:sz w:val="21"/>
              </w:rPr>
              <w:t xml:space="preserve">，得</w:t>
            </w:r>
            <w:r>
              <w:rPr>
                <w:rFonts w:hint="eastAsia" w:ascii="微软雅黑" w:hAnsi="微软雅黑" w:eastAsia="微软雅黑" w:cs="微软雅黑"/>
                <w:sz w:val="21"/>
                <w:lang w:val="en-US" w:eastAsia="zh-CN"/>
              </w:rPr>
              <w:t xml:space="preserve">1</w:t>
            </w:r>
            <w:r>
              <w:rPr>
                <w:rFonts w:hint="eastAsia" w:ascii="微软雅黑" w:hAnsi="微软雅黑" w:eastAsia="微软雅黑" w:cs="微软雅黑"/>
                <w:sz w:val="21"/>
              </w:rPr>
              <w:t xml:space="preserve">分</w:t>
            </w:r>
            <w:r>
              <w:rPr>
                <w:rFonts w:hint="eastAsia" w:ascii="微软雅黑" w:hAnsi="微软雅黑" w:eastAsia="微软雅黑" w:cs="微软雅黑"/>
                <w:sz w:val="21"/>
                <w:lang w:val="en-US" w:eastAsia="zh-CN"/>
              </w:rPr>
              <w:t xml:space="preserve">。</w:t>
            </w:r>
            <w:r>
              <w:rPr>
                <w:rFonts w:ascii="微软雅黑" w:hAnsi="微软雅黑" w:eastAsia="微软雅黑" w:cs="微软雅黑"/>
                <w:b/>
                <w:sz w:val="21"/>
                <w:lang w:val="en-US" w:eastAsia="zh-CN"/>
              </w:rPr>
            </w:r>
            <w:r/>
          </w:p>
          <w:p>
            <w:pPr>
              <w:pStyle w:val="1063"/>
              <w:spacing w:line="440" w:lineRule="exact"/>
              <w:rPr>
                <w:rFonts w:ascii="微软雅黑" w:hAnsi="微软雅黑" w:eastAsia="微软雅黑" w:cs="微软雅黑"/>
                <w:b/>
                <w:sz w:val="21"/>
                <w:lang w:val="en-US" w:eastAsia="zh-CN"/>
              </w:rPr>
            </w:pPr>
            <w:r>
              <w:rPr>
                <w:rFonts w:hint="eastAsia" w:ascii="微软雅黑" w:hAnsi="微软雅黑" w:eastAsia="微软雅黑" w:cs="微软雅黑"/>
                <w:b/>
                <w:sz w:val="21"/>
                <w:lang w:val="en-US" w:eastAsia="zh-CN"/>
              </w:rPr>
              <w:t xml:space="preserve">2</w:t>
            </w:r>
            <w:r>
              <w:rPr>
                <w:rFonts w:hint="eastAsia" w:ascii="微软雅黑" w:hAnsi="微软雅黑" w:eastAsia="微软雅黑" w:cs="微软雅黑"/>
                <w:b/>
                <w:sz w:val="21"/>
              </w:rPr>
              <w:t xml:space="preserve">、</w:t>
            </w:r>
            <w:r>
              <w:rPr>
                <w:rFonts w:hint="eastAsia" w:ascii="微软雅黑" w:hAnsi="微软雅黑" w:eastAsia="微软雅黑" w:cs="微软雅黑"/>
                <w:b/>
                <w:sz w:val="21"/>
                <w:lang w:val="en-US" w:eastAsia="zh-CN"/>
              </w:rPr>
              <w:t xml:space="preserve">技术</w:t>
            </w:r>
            <w:r>
              <w:rPr>
                <w:rFonts w:hint="eastAsia" w:ascii="微软雅黑" w:hAnsi="微软雅黑" w:eastAsia="微软雅黑" w:cs="微软雅黑"/>
                <w:b/>
                <w:sz w:val="21"/>
              </w:rPr>
              <w:t xml:space="preserve">负责人（</w:t>
            </w:r>
            <w:r>
              <w:rPr>
                <w:rFonts w:hint="eastAsia" w:ascii="微软雅黑" w:hAnsi="微软雅黑" w:eastAsia="微软雅黑" w:cs="微软雅黑"/>
                <w:b/>
                <w:sz w:val="21"/>
                <w:lang w:val="en-US" w:eastAsia="zh-CN"/>
              </w:rPr>
              <w:t xml:space="preserve">5</w:t>
            </w:r>
            <w:r>
              <w:rPr>
                <w:rFonts w:hint="eastAsia" w:ascii="微软雅黑" w:hAnsi="微软雅黑" w:eastAsia="微软雅黑" w:cs="微软雅黑"/>
                <w:b/>
                <w:sz w:val="21"/>
              </w:rPr>
              <w:t xml:space="preserve">分）：</w:t>
            </w:r>
            <w:r>
              <w:rPr>
                <w:rFonts w:hint="eastAsia" w:ascii="微软雅黑" w:hAnsi="微软雅黑" w:eastAsia="微软雅黑" w:cs="微软雅黑"/>
                <w:sz w:val="21"/>
              </w:rPr>
              <w:t xml:space="preserve">投标人提供的</w:t>
            </w:r>
            <w:r>
              <w:rPr>
                <w:rFonts w:hint="eastAsia" w:ascii="微软雅黑" w:hAnsi="微软雅黑" w:eastAsia="微软雅黑" w:cs="微软雅黑"/>
                <w:sz w:val="21"/>
                <w:lang w:val="en-US" w:eastAsia="zh-CN"/>
              </w:rPr>
              <w:t xml:space="preserve">技术</w:t>
            </w:r>
            <w:r>
              <w:rPr>
                <w:rFonts w:hint="eastAsia" w:ascii="微软雅黑" w:hAnsi="微软雅黑" w:eastAsia="微软雅黑" w:cs="微软雅黑"/>
                <w:sz w:val="21"/>
              </w:rPr>
              <w:t xml:space="preserve">负责人具有</w:t>
            </w:r>
            <w:r>
              <w:rPr>
                <w:rFonts w:hint="eastAsia" w:ascii="微软雅黑" w:hAnsi="微软雅黑" w:eastAsia="微软雅黑" w:cs="微软雅黑"/>
                <w:sz w:val="21"/>
                <w:lang w:val="en-US" w:eastAsia="zh-CN"/>
              </w:rPr>
              <w:t xml:space="preserve">电气工程相关专业</w:t>
            </w:r>
            <w:r>
              <w:rPr>
                <w:rFonts w:hint="eastAsia" w:ascii="微软雅黑" w:hAnsi="微软雅黑" w:eastAsia="微软雅黑" w:cs="微软雅黑"/>
                <w:sz w:val="21"/>
              </w:rPr>
              <w:t xml:space="preserve">高级职称</w:t>
            </w:r>
            <w:r>
              <w:rPr>
                <w:rFonts w:hint="eastAsia" w:ascii="微软雅黑" w:hAnsi="微软雅黑" w:eastAsia="微软雅黑" w:cs="微软雅黑"/>
                <w:sz w:val="21"/>
                <w:lang w:val="en-US" w:eastAsia="zh-CN"/>
              </w:rPr>
              <w:t xml:space="preserve">并且持有高压电工证的</w:t>
            </w:r>
            <w:r>
              <w:rPr>
                <w:rFonts w:hint="eastAsia" w:ascii="微软雅黑" w:hAnsi="微软雅黑" w:eastAsia="微软雅黑" w:cs="微软雅黑"/>
                <w:sz w:val="21"/>
              </w:rPr>
              <w:t xml:space="preserve">，得</w:t>
            </w:r>
            <w:r>
              <w:rPr>
                <w:rFonts w:hint="eastAsia" w:ascii="微软雅黑" w:hAnsi="微软雅黑" w:eastAsia="微软雅黑" w:cs="微软雅黑"/>
                <w:sz w:val="21"/>
                <w:lang w:val="en-US" w:eastAsia="zh-CN"/>
              </w:rPr>
              <w:t xml:space="preserve">5</w:t>
            </w:r>
            <w:r>
              <w:rPr>
                <w:rFonts w:hint="eastAsia" w:ascii="微软雅黑" w:hAnsi="微软雅黑" w:eastAsia="微软雅黑" w:cs="微软雅黑"/>
                <w:sz w:val="21"/>
              </w:rPr>
              <w:t xml:space="preserve">分；</w:t>
            </w:r>
            <w:r>
              <w:rPr>
                <w:rFonts w:hint="eastAsia" w:ascii="微软雅黑" w:hAnsi="微软雅黑" w:eastAsia="微软雅黑" w:cs="微软雅黑"/>
                <w:sz w:val="21"/>
                <w:lang w:val="en-US" w:eastAsia="zh-CN"/>
              </w:rPr>
              <w:t xml:space="preserve">具有电气工程相关专业中</w:t>
            </w:r>
            <w:r>
              <w:rPr>
                <w:rFonts w:hint="eastAsia" w:ascii="微软雅黑" w:hAnsi="微软雅黑" w:eastAsia="微软雅黑" w:cs="微软雅黑"/>
                <w:sz w:val="21"/>
              </w:rPr>
              <w:t xml:space="preserve">级职称</w:t>
            </w:r>
            <w:r>
              <w:rPr>
                <w:rFonts w:hint="eastAsia" w:ascii="微软雅黑" w:hAnsi="微软雅黑" w:eastAsia="微软雅黑" w:cs="微软雅黑"/>
                <w:sz w:val="21"/>
                <w:lang w:val="en-US" w:eastAsia="zh-CN"/>
              </w:rPr>
              <w:t xml:space="preserve">并且持有高压电工证的</w:t>
            </w:r>
            <w:r>
              <w:rPr>
                <w:rFonts w:hint="eastAsia" w:ascii="微软雅黑" w:hAnsi="微软雅黑" w:eastAsia="微软雅黑" w:cs="微软雅黑"/>
                <w:sz w:val="21"/>
              </w:rPr>
              <w:t xml:space="preserve">，得</w:t>
            </w:r>
            <w:r>
              <w:rPr>
                <w:rFonts w:hint="eastAsia" w:ascii="微软雅黑" w:hAnsi="微软雅黑" w:eastAsia="微软雅黑" w:cs="微软雅黑"/>
                <w:sz w:val="21"/>
                <w:lang w:val="en-US" w:eastAsia="zh-CN"/>
              </w:rPr>
              <w:t xml:space="preserve">3</w:t>
            </w:r>
            <w:r>
              <w:rPr>
                <w:rFonts w:hint="eastAsia" w:ascii="微软雅黑" w:hAnsi="微软雅黑" w:eastAsia="微软雅黑" w:cs="微软雅黑"/>
                <w:sz w:val="21"/>
              </w:rPr>
              <w:t xml:space="preserve">分；</w:t>
            </w:r>
            <w:r>
              <w:rPr>
                <w:rFonts w:hint="eastAsia" w:ascii="微软雅黑" w:hAnsi="微软雅黑" w:eastAsia="微软雅黑" w:cs="微软雅黑"/>
                <w:sz w:val="21"/>
                <w:lang w:val="en-US" w:eastAsia="zh-CN"/>
              </w:rPr>
              <w:t xml:space="preserve">具有电气工程相关专业初级</w:t>
            </w:r>
            <w:r>
              <w:rPr>
                <w:rFonts w:hint="eastAsia" w:ascii="微软雅黑" w:hAnsi="微软雅黑" w:eastAsia="微软雅黑" w:cs="微软雅黑"/>
                <w:sz w:val="21"/>
              </w:rPr>
              <w:t xml:space="preserve">职称</w:t>
            </w:r>
            <w:r>
              <w:rPr>
                <w:rFonts w:hint="eastAsia" w:ascii="微软雅黑" w:hAnsi="微软雅黑" w:eastAsia="微软雅黑" w:cs="微软雅黑"/>
                <w:sz w:val="21"/>
                <w:lang w:val="en-US" w:eastAsia="zh-CN"/>
              </w:rPr>
              <w:t xml:space="preserve">并且持有高压电工证的</w:t>
            </w:r>
            <w:r>
              <w:rPr>
                <w:rFonts w:hint="eastAsia" w:ascii="微软雅黑" w:hAnsi="微软雅黑" w:eastAsia="微软雅黑" w:cs="微软雅黑"/>
                <w:sz w:val="21"/>
              </w:rPr>
              <w:t xml:space="preserve">，得</w:t>
            </w:r>
            <w:r>
              <w:rPr>
                <w:rFonts w:hint="eastAsia" w:ascii="微软雅黑" w:hAnsi="微软雅黑" w:eastAsia="微软雅黑" w:cs="微软雅黑"/>
                <w:sz w:val="21"/>
                <w:lang w:val="en-US" w:eastAsia="zh-CN"/>
              </w:rPr>
              <w:t xml:space="preserve">1</w:t>
            </w:r>
            <w:r>
              <w:rPr>
                <w:rFonts w:hint="eastAsia" w:ascii="微软雅黑" w:hAnsi="微软雅黑" w:eastAsia="微软雅黑" w:cs="微软雅黑"/>
                <w:sz w:val="21"/>
              </w:rPr>
              <w:t xml:space="preserve">分</w:t>
            </w:r>
            <w:r>
              <w:rPr>
                <w:rFonts w:hint="eastAsia" w:ascii="微软雅黑" w:hAnsi="微软雅黑" w:eastAsia="微软雅黑" w:cs="微软雅黑"/>
                <w:sz w:val="21"/>
                <w:lang w:val="en-US" w:eastAsia="zh-CN"/>
              </w:rPr>
              <w:t xml:space="preserve">。</w:t>
            </w:r>
            <w:r>
              <w:rPr>
                <w:rFonts w:ascii="微软雅黑" w:hAnsi="微软雅黑" w:eastAsia="微软雅黑" w:cs="微软雅黑"/>
                <w:b/>
                <w:sz w:val="21"/>
                <w:lang w:val="en-US" w:eastAsia="zh-CN"/>
              </w:rPr>
            </w:r>
            <w:r/>
          </w:p>
          <w:p>
            <w:pPr>
              <w:pStyle w:val="1063"/>
              <w:spacing w:line="440" w:lineRule="exact"/>
              <w:rPr>
                <w:rFonts w:hint="eastAsia" w:ascii="微软雅黑" w:hAnsi="微软雅黑" w:eastAsia="微软雅黑" w:cs="微软雅黑"/>
                <w:b/>
                <w:sz w:val="21"/>
              </w:rPr>
            </w:pPr>
            <w:r>
              <w:rPr>
                <w:rFonts w:hint="eastAsia" w:ascii="微软雅黑" w:hAnsi="微软雅黑" w:eastAsia="微软雅黑" w:cs="微软雅黑"/>
                <w:b/>
                <w:sz w:val="21"/>
                <w:lang w:val="en-US" w:eastAsia="zh-CN"/>
              </w:rPr>
              <w:t xml:space="preserve">2</w:t>
            </w:r>
            <w:r>
              <w:rPr>
                <w:rFonts w:hint="eastAsia" w:ascii="微软雅黑" w:hAnsi="微软雅黑" w:eastAsia="微软雅黑" w:cs="微软雅黑"/>
                <w:b/>
                <w:sz w:val="21"/>
              </w:rPr>
              <w:t xml:space="preserve">、专业技术团队（</w:t>
            </w:r>
            <w:r>
              <w:rPr>
                <w:rFonts w:hint="eastAsia" w:ascii="微软雅黑" w:hAnsi="微软雅黑" w:eastAsia="微软雅黑" w:cs="微软雅黑"/>
                <w:b/>
                <w:sz w:val="21"/>
                <w:lang w:val="en-US" w:eastAsia="zh-CN"/>
              </w:rPr>
              <w:t xml:space="preserve">4</w:t>
            </w:r>
            <w:r>
              <w:rPr>
                <w:rFonts w:hint="eastAsia" w:ascii="微软雅黑" w:hAnsi="微软雅黑" w:eastAsia="微软雅黑" w:cs="微软雅黑"/>
                <w:b/>
                <w:sz w:val="21"/>
              </w:rPr>
              <w:t xml:space="preserve">分）：</w:t>
            </w:r>
            <w:r>
              <w:rPr>
                <w:rFonts w:hint="eastAsia" w:ascii="微软雅黑" w:hAnsi="微软雅黑" w:eastAsia="微软雅黑" w:cs="微软雅黑"/>
                <w:b/>
                <w:sz w:val="21"/>
              </w:rPr>
            </w:r>
            <w:r/>
          </w:p>
          <w:p>
            <w:pPr>
              <w:pStyle w:val="1063"/>
              <w:spacing w:line="440" w:lineRule="exact"/>
              <w:rPr>
                <w:rFonts w:hint="eastAsia" w:ascii="微软雅黑" w:hAnsi="微软雅黑" w:eastAsia="微软雅黑" w:cs="微软雅黑"/>
                <w:b w:val="0"/>
                <w:bCs/>
                <w:sz w:val="21"/>
                <w:lang w:val="en-US" w:eastAsia="zh-CN"/>
              </w:rPr>
            </w:pPr>
            <w:r>
              <w:rPr>
                <w:rFonts w:hint="eastAsia" w:ascii="微软雅黑" w:hAnsi="微软雅黑" w:eastAsia="微软雅黑" w:cs="微软雅黑"/>
                <w:b w:val="0"/>
                <w:bCs/>
                <w:sz w:val="21"/>
                <w:lang w:val="en-US" w:eastAsia="zh-CN"/>
              </w:rPr>
              <w:t xml:space="preserve">具有特种作业操作证（高压电工作业），得分0.5分/人，最多1分；具有特种作业操作证（电气试验作业），得分0.5分/人，最多1分；具有特种作业操作证（电力电缆作业），得分0.5分/人，最多1分；具有特种作业操作证（继电保护作业），得分0.5分/人，最多1分。</w:t>
            </w:r>
            <w:r>
              <w:rPr>
                <w:rFonts w:hint="eastAsia" w:ascii="微软雅黑" w:hAnsi="微软雅黑" w:eastAsia="微软雅黑" w:cs="微软雅黑"/>
                <w:b w:val="0"/>
                <w:bCs/>
                <w:sz w:val="21"/>
                <w:lang w:val="en-US" w:eastAsia="zh-CN"/>
              </w:rPr>
            </w:r>
            <w:r/>
          </w:p>
          <w:p>
            <w:pPr>
              <w:pStyle w:val="1063"/>
              <w:spacing w:line="440" w:lineRule="exact"/>
              <w:rPr>
                <w:rFonts w:ascii="微软雅黑" w:hAnsi="微软雅黑" w:eastAsia="微软雅黑" w:cs="微软雅黑"/>
                <w:b w:val="0"/>
                <w:bCs/>
                <w:sz w:val="21"/>
                <w:lang w:val="en-US" w:eastAsia="zh-CN"/>
              </w:rPr>
            </w:pPr>
            <w:r>
              <w:rPr>
                <w:rFonts w:hint="eastAsia" w:ascii="微软雅黑" w:hAnsi="微软雅黑" w:eastAsia="微软雅黑" w:cs="微软雅黑"/>
                <w:b w:val="0"/>
                <w:bCs/>
                <w:sz w:val="21"/>
                <w:lang w:val="en-US" w:eastAsia="zh-CN"/>
              </w:rPr>
              <w:t xml:space="preserve">以上人员不重复计分。</w:t>
            </w:r>
            <w:r>
              <w:rPr>
                <w:rFonts w:ascii="微软雅黑" w:hAnsi="微软雅黑" w:eastAsia="微软雅黑" w:cs="微软雅黑"/>
                <w:b w:val="0"/>
                <w:bCs/>
                <w:sz w:val="21"/>
                <w:lang w:val="en-US" w:eastAsia="zh-CN"/>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b/>
                <w:sz w:val="21"/>
                <w:szCs w:val="21"/>
                <w:lang w:val="en-US" w:eastAsia="zh-CN"/>
              </w:rPr>
              <w:t xml:space="preserve">注：人员需</w:t>
            </w:r>
            <w:r>
              <w:rPr>
                <w:rFonts w:hint="eastAsia" w:ascii="微软雅黑" w:hAnsi="微软雅黑" w:eastAsia="微软雅黑" w:cs="微软雅黑"/>
                <w:b/>
                <w:sz w:val="21"/>
                <w:szCs w:val="21"/>
              </w:rPr>
              <w:t xml:space="preserve">提供有效证书复印件和投标截止日前</w:t>
            </w:r>
            <w:r>
              <w:rPr>
                <w:rFonts w:hint="eastAsia" w:ascii="微软雅黑" w:hAnsi="微软雅黑" w:eastAsia="微软雅黑" w:cs="微软雅黑"/>
                <w:b/>
                <w:color w:val="000000"/>
                <w:sz w:val="21"/>
                <w:szCs w:val="21"/>
              </w:rPr>
              <w:t xml:space="preserve">近6个月（202</w:t>
            </w:r>
            <w:r>
              <w:rPr>
                <w:rFonts w:hint="eastAsia" w:ascii="微软雅黑" w:hAnsi="微软雅黑" w:cs="微软雅黑"/>
                <w:b/>
                <w:color w:val="000000"/>
                <w:sz w:val="21"/>
                <w:szCs w:val="21"/>
                <w:lang w:val="en-US" w:eastAsia="zh-CN"/>
              </w:rPr>
              <w:t xml:space="preserve">5</w:t>
            </w:r>
            <w:r>
              <w:rPr>
                <w:rFonts w:hint="eastAsia" w:ascii="微软雅黑" w:hAnsi="微软雅黑" w:eastAsia="微软雅黑" w:cs="微软雅黑"/>
                <w:b/>
                <w:color w:val="000000"/>
                <w:sz w:val="21"/>
                <w:szCs w:val="21"/>
              </w:rPr>
              <w:t xml:space="preserve">年</w:t>
            </w:r>
            <w:r>
              <w:rPr>
                <w:rFonts w:hint="eastAsia" w:ascii="微软雅黑" w:hAnsi="微软雅黑" w:cs="微软雅黑"/>
                <w:b/>
                <w:color w:val="000000"/>
                <w:sz w:val="21"/>
                <w:szCs w:val="21"/>
                <w:lang w:val="en-US" w:eastAsia="zh-CN"/>
              </w:rPr>
              <w:t xml:space="preserve">09</w:t>
            </w:r>
            <w:r>
              <w:rPr>
                <w:rFonts w:hint="eastAsia" w:ascii="微软雅黑" w:hAnsi="微软雅黑" w:eastAsia="微软雅黑" w:cs="微软雅黑"/>
                <w:b/>
                <w:color w:val="000000"/>
                <w:sz w:val="21"/>
                <w:szCs w:val="21"/>
              </w:rPr>
              <w:t xml:space="preserve">月至202</w:t>
            </w:r>
            <w:r>
              <w:rPr>
                <w:rFonts w:hint="eastAsia" w:ascii="微软雅黑" w:hAnsi="微软雅黑" w:cs="微软雅黑"/>
                <w:b/>
                <w:color w:val="000000"/>
                <w:sz w:val="21"/>
                <w:szCs w:val="21"/>
                <w:lang w:val="en-US" w:eastAsia="zh-CN"/>
              </w:rPr>
              <w:t xml:space="preserve">6</w:t>
            </w:r>
            <w:r>
              <w:rPr>
                <w:rFonts w:hint="eastAsia" w:ascii="微软雅黑" w:hAnsi="微软雅黑" w:eastAsia="微软雅黑" w:cs="微软雅黑"/>
                <w:b/>
                <w:color w:val="000000"/>
                <w:sz w:val="21"/>
                <w:szCs w:val="21"/>
              </w:rPr>
              <w:t xml:space="preserve">年</w:t>
            </w:r>
            <w:r>
              <w:rPr>
                <w:rFonts w:hint="eastAsia" w:ascii="微软雅黑" w:hAnsi="微软雅黑" w:cs="微软雅黑"/>
                <w:b/>
                <w:color w:val="000000"/>
                <w:sz w:val="21"/>
                <w:szCs w:val="21"/>
                <w:lang w:val="en-US" w:eastAsia="zh-CN"/>
              </w:rPr>
              <w:t xml:space="preserve">02</w:t>
            </w:r>
            <w:r>
              <w:rPr>
                <w:rFonts w:hint="eastAsia" w:ascii="微软雅黑" w:hAnsi="微软雅黑" w:eastAsia="微软雅黑" w:cs="微软雅黑"/>
                <w:b/>
                <w:color w:val="000000"/>
                <w:sz w:val="21"/>
                <w:szCs w:val="21"/>
              </w:rPr>
              <w:t xml:space="preserve">月）在本单位交纳社保证明复印件，未提供或提供不全的不得分</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ascii="微软雅黑" w:hAnsi="微软雅黑" w:eastAsia="微软雅黑" w:cs="微软雅黑"/>
                <w:szCs w:val="21"/>
                <w:lang w:val="en-US" w:eastAsia="zh-CN"/>
              </w:rPr>
            </w:pPr>
            <w:r>
              <w:rPr>
                <w:rFonts w:hint="eastAsia" w:ascii="微软雅黑" w:hAnsi="微软雅黑" w:cs="微软雅黑"/>
                <w:szCs w:val="21"/>
                <w:lang w:val="en-US" w:eastAsia="zh-CN" w:bidi="ar"/>
              </w:rPr>
              <w:t xml:space="preserve">14</w:t>
            </w:r>
            <w:r>
              <w:rPr>
                <w:rFonts w:ascii="微软雅黑" w:hAnsi="微软雅黑" w:eastAsia="微软雅黑" w:cs="微软雅黑"/>
                <w:szCs w:val="21"/>
                <w:lang w:val="en-US" w:eastAsia="zh-CN"/>
              </w:rPr>
            </w:r>
            <w:r/>
          </w:p>
        </w:tc>
      </w:tr>
      <w:tr>
        <w:trPr>
          <w:trHeight w:val="1282"/>
        </w:trPr>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3</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技术参数</w:t>
            </w:r>
            <w:r>
              <w:rPr>
                <w:rFonts w:hint="eastAsia" w:ascii="微软雅黑" w:hAnsi="微软雅黑" w:cs="微软雅黑"/>
                <w:szCs w:val="21"/>
              </w:rPr>
            </w:r>
            <w:r/>
          </w:p>
        </w:tc>
        <w:tc>
          <w:tcPr>
            <w:tcBorders>
              <w:top w:val="single" w:color="000000" w:sz="4" w:space="0"/>
              <w:left w:val="single" w:color="000000" w:sz="4" w:space="0"/>
              <w:bottom w:val="none" w:color="000000" w:sz="0" w:space="0"/>
              <w:right w:val="single" w:color="000000" w:sz="4" w:space="0"/>
            </w:tcBorders>
            <w:tcW w:w="6829" w:type="dxa"/>
            <w:vAlign w:val="center"/>
            <w:textDirection w:val="lrTb"/>
            <w:noWrap w:val="false"/>
          </w:tcPr>
          <w:p>
            <w:pPr>
              <w:pStyle w:val="1044"/>
              <w:numPr>
                <w:ilvl w:val="0"/>
                <w:numId w:val="0"/>
              </w:numPr>
              <w:jc w:val="left"/>
              <w:spacing w:line="440" w:lineRule="exac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完全满足或优于招标文件第四章项目采购需求中技术要求的高压</w:t>
            </w:r>
            <w:r>
              <w:rPr>
                <w:rFonts w:hint="eastAsia" w:ascii="微软雅黑" w:hAnsi="微软雅黑" w:cs="微软雅黑"/>
                <w:szCs w:val="21"/>
                <w:highlight w:val="none"/>
                <w:lang w:val="en-US" w:eastAsia="zh-CN"/>
              </w:rPr>
              <w:t xml:space="preserve">环网</w:t>
            </w:r>
            <w:r>
              <w:rPr>
                <w:rFonts w:hint="eastAsia" w:ascii="微软雅黑" w:hAnsi="微软雅黑" w:cs="微软雅黑"/>
                <w:szCs w:val="21"/>
                <w:highlight w:val="none"/>
              </w:rPr>
              <w:t xml:space="preserve">柜、低压开关柜</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val="en-US" w:eastAsia="zh-CN"/>
              </w:rPr>
              <w:t xml:space="preserve">变压器、低压电容柜、直流屏</w:t>
            </w:r>
            <w:r>
              <w:rPr>
                <w:rFonts w:hint="eastAsia" w:ascii="微软雅黑" w:hAnsi="微软雅黑" w:cs="微软雅黑"/>
                <w:szCs w:val="21"/>
                <w:highlight w:val="none"/>
              </w:rPr>
              <w:t xml:space="preserve">的技术规范，每有一项满足得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分，最高</w:t>
            </w:r>
            <w:r>
              <w:rPr>
                <w:rFonts w:hint="eastAsia" w:ascii="微软雅黑" w:hAnsi="微软雅黑" w:cs="微软雅黑"/>
                <w:szCs w:val="21"/>
                <w:highlight w:val="none"/>
                <w:lang w:val="en-US" w:eastAsia="zh-CN"/>
              </w:rPr>
              <w:t xml:space="preserve">15</w:t>
            </w:r>
            <w:r>
              <w:rPr>
                <w:rFonts w:hint="eastAsia" w:ascii="微软雅黑" w:hAnsi="微软雅黑" w:cs="微软雅黑"/>
                <w:szCs w:val="21"/>
                <w:highlight w:val="none"/>
              </w:rPr>
              <w:t xml:space="preserve">分。</w:t>
            </w:r>
            <w:r>
              <w:rPr>
                <w:rFonts w:hint="eastAsia" w:ascii="微软雅黑" w:hAnsi="微软雅黑" w:cs="微软雅黑"/>
                <w:szCs w:val="21"/>
                <w:highlight w:val="none"/>
              </w:rPr>
            </w:r>
            <w:r/>
          </w:p>
          <w:p>
            <w:pPr>
              <w:pStyle w:val="1044"/>
              <w:jc w:val="left"/>
              <w:spacing w:line="440" w:lineRule="exac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（各投标供应商务必按照各项技术要求在技术参数及偏离表中如实详细填列）。</w:t>
            </w:r>
            <w:r>
              <w:rPr>
                <w:rFonts w:hint="eastAsia" w:ascii="微软雅黑" w:hAnsi="微软雅黑"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15</w:t>
            </w:r>
            <w:r>
              <w:rPr>
                <w:rFonts w:hint="eastAsia" w:ascii="微软雅黑" w:hAnsi="微软雅黑" w:eastAsia="微软雅黑" w:cs="微软雅黑"/>
                <w:szCs w:val="21"/>
                <w:lang w:eastAsia="zh-CN"/>
              </w:rPr>
            </w:r>
            <w:r/>
          </w:p>
        </w:tc>
      </w:tr>
      <w:tr>
        <w:trPr>
          <w:trHeight w:val="847"/>
        </w:trPr>
        <w:tc>
          <w:tcPr>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4</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施工组织设计</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rFonts w:hint="eastAsia" w:ascii="微软雅黑" w:hAnsi="微软雅黑" w:cs="微软雅黑"/>
                <w:szCs w:val="21"/>
                <w:lang w:bidi="ar"/>
              </w:rPr>
            </w:pPr>
            <w:r>
              <w:rPr>
                <w:rFonts w:hint="eastAsia" w:ascii="微软雅黑" w:hAnsi="微软雅黑" w:cs="微软雅黑"/>
                <w:szCs w:val="21"/>
                <w:lang w:bidi="ar"/>
              </w:rPr>
              <w:t xml:space="preserve">总体概述：（包含但不限于施工组织总体设想、方案针对性及关键施工技术、工艺和施工重难点分析（包含特殊天气的施工解决方案等)方面进行评分：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概述全面、合理、有针对性、实操性强，得9分；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概述较全面、较合理、比较有针对性、实操性比较强，得5分；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概述片面、针对性不具体及实操性较弱的，得1分；</w:t>
            </w:r>
            <w:r>
              <w:rPr>
                <w:rFonts w:hint="eastAsia" w:ascii="微软雅黑" w:hAnsi="微软雅黑" w:cs="微软雅黑"/>
                <w:szCs w:val="21"/>
                <w:lang w:bidi="ar"/>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其他或未提供不得分。</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9</w:t>
            </w:r>
            <w:r>
              <w:rPr>
                <w:rFonts w:hint="eastAsia" w:ascii="微软雅黑" w:hAnsi="微软雅黑" w:cs="微软雅黑"/>
                <w:szCs w:val="21"/>
              </w:rPr>
            </w:r>
            <w:r/>
          </w:p>
        </w:tc>
      </w:tr>
      <w:tr>
        <w:trPr>
          <w:trHeight w:val="885"/>
        </w:trPr>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施工进度计划、各工序安排和各阶段进度、质量的保证措施</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方面进行评分：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计划、进度安排合理，保证措施科学可行，得9分；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计划、进度安排比较合理保证措施比较科学，得5分；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计划、进度安排欠合理，保证措施科学性可行性较弱，得1分；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其他或未提供不得分。</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9</w:t>
            </w:r>
            <w:r>
              <w:rPr>
                <w:rFonts w:hint="eastAsia" w:ascii="微软雅黑" w:hAnsi="微软雅黑" w:cs="微软雅黑"/>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rFonts w:hint="eastAsia" w:ascii="微软雅黑" w:hAnsi="微软雅黑" w:cs="微软雅黑"/>
                <w:szCs w:val="21"/>
                <w:lang w:bidi="ar"/>
              </w:rPr>
            </w:pPr>
            <w:r>
              <w:rPr>
                <w:rFonts w:hint="eastAsia" w:ascii="微软雅黑" w:hAnsi="微软雅黑" w:cs="微软雅黑"/>
                <w:szCs w:val="21"/>
                <w:lang w:bidi="ar"/>
              </w:rPr>
              <w:t xml:space="preserve">劳动力及设备材料、配置安排科学、合理、可操作性强，得9分；</w:t>
            </w:r>
            <w:r>
              <w:rPr>
                <w:rFonts w:hint="eastAsia" w:ascii="微软雅黑" w:hAnsi="微软雅黑" w:cs="微软雅黑"/>
                <w:szCs w:val="21"/>
                <w:lang w:bidi="ar"/>
              </w:rPr>
              <w:br w:type="textWrapping" w:clear="all"/>
            </w:r>
            <w:r>
              <w:rPr>
                <w:rFonts w:hint="eastAsia" w:ascii="微软雅黑" w:hAnsi="微软雅黑" w:cs="微软雅黑"/>
                <w:szCs w:val="21"/>
                <w:lang w:bidi="ar"/>
              </w:rPr>
              <w:t xml:space="preserve">劳动力及设备材料、配置安排较科学合理、可操作性比较强，得5分；劳动力及设备材料、配置安排合理性、可操作性较弱，得1分；</w:t>
            </w:r>
            <w:r>
              <w:rPr>
                <w:rFonts w:hint="eastAsia" w:ascii="微软雅黑" w:hAnsi="微软雅黑" w:cs="微软雅黑"/>
                <w:szCs w:val="21"/>
                <w:lang w:bidi="ar"/>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其他或未提供不得分。</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9</w:t>
            </w:r>
            <w:r>
              <w:rPr>
                <w:rFonts w:hint="eastAsia" w:ascii="微软雅黑" w:hAnsi="微软雅黑" w:cs="微软雅黑"/>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5</w:t>
            </w:r>
            <w:r>
              <w:rPr>
                <w:rFonts w:hint="eastAsia" w:ascii="微软雅黑" w:hAnsi="微软雅黑" w:cs="微软雅黑"/>
                <w:szCs w:val="21"/>
              </w:rPr>
            </w:r>
            <w:r/>
          </w:p>
        </w:tc>
        <w:tc>
          <w:tcPr>
            <w:tcBorders>
              <w:top w:val="none" w:color="000000" w:sz="4" w:space="0"/>
              <w:left w:val="none" w:color="000000" w:sz="4" w:space="0"/>
              <w:bottom w:val="single" w:color="000000" w:sz="4" w:space="0"/>
              <w:right w:val="single" w:color="000000" w:sz="4" w:space="0"/>
            </w:tcBorders>
            <w:tcW w:w="888" w:type="dxa"/>
            <w:vAlign w:val="center"/>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质量保修期</w:t>
            </w:r>
            <w:r>
              <w:rPr>
                <w:rFonts w:hint="eastAsia" w:ascii="微软雅黑" w:hAnsi="微软雅黑" w:cs="微软雅黑"/>
                <w:szCs w:val="21"/>
              </w:rPr>
            </w:r>
            <w:r/>
          </w:p>
        </w:tc>
        <w:tc>
          <w:tcPr>
            <w:tcBorders>
              <w:top w:val="none" w:color="000000" w:sz="4" w:space="0"/>
              <w:left w:val="single" w:color="000000" w:sz="4" w:space="0"/>
              <w:bottom w:val="single" w:color="000000" w:sz="4" w:space="0"/>
              <w:right w:val="single" w:color="000000" w:sz="4" w:space="0"/>
            </w:tcBorders>
            <w:tcW w:w="6829" w:type="dxa"/>
            <w:vAlign w:val="center"/>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lang w:bidi="ar"/>
              </w:rPr>
              <w:t xml:space="preserve">竣工验收合格交付使用后的质量保修期，在免费质量保修期（2年）要求的基础上，每延长1年得</w:t>
            </w:r>
            <w:r>
              <w:rPr>
                <w:rFonts w:hint="eastAsia" w:ascii="微软雅黑" w:hAnsi="微软雅黑" w:cs="微软雅黑"/>
                <w:szCs w:val="21"/>
                <w:lang w:val="en-US" w:eastAsia="zh-CN" w:bidi="ar"/>
              </w:rPr>
              <w:t xml:space="preserve">1</w:t>
            </w:r>
            <w:r>
              <w:rPr>
                <w:rFonts w:hint="eastAsia" w:ascii="微软雅黑" w:hAnsi="微软雅黑" w:cs="微软雅黑"/>
                <w:szCs w:val="21"/>
                <w:lang w:bidi="ar"/>
              </w:rPr>
              <w:t xml:space="preserve">分，最多得</w:t>
            </w:r>
            <w:r>
              <w:rPr>
                <w:rFonts w:hint="eastAsia" w:ascii="微软雅黑" w:hAnsi="微软雅黑" w:cs="微软雅黑"/>
                <w:szCs w:val="21"/>
                <w:lang w:val="en-US" w:eastAsia="zh-CN" w:bidi="ar"/>
              </w:rPr>
              <w:t xml:space="preserve">2</w:t>
            </w:r>
            <w:r>
              <w:rPr>
                <w:rFonts w:hint="eastAsia" w:ascii="微软雅黑" w:hAnsi="微软雅黑" w:cs="微软雅黑"/>
                <w:szCs w:val="21"/>
                <w:lang w:bidi="ar"/>
              </w:rPr>
              <w:t xml:space="preserve">分。</w:t>
            </w:r>
            <w:r>
              <w:rPr>
                <w:rFonts w:hint="eastAsia" w:ascii="微软雅黑" w:hAnsi="微软雅黑" w:cs="微软雅黑"/>
                <w:szCs w:val="21"/>
              </w:rPr>
            </w:r>
            <w:r/>
          </w:p>
        </w:tc>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pStyle w:val="1044"/>
              <w:jc w:val="center"/>
              <w:spacing w:line="440" w:lineRule="exact"/>
              <w:widowControl/>
              <w:rPr>
                <w:rFonts w:hint="eastAsia" w:ascii="微软雅黑" w:hAnsi="微软雅黑" w:eastAsia="微软雅黑" w:cs="微软雅黑"/>
                <w:b/>
                <w:bCs/>
                <w:szCs w:val="21"/>
                <w:lang w:eastAsia="zh-CN"/>
              </w:rPr>
            </w:pPr>
            <w:r>
              <w:rPr>
                <w:rFonts w:hint="eastAsia" w:ascii="微软雅黑" w:hAnsi="微软雅黑" w:cs="微软雅黑"/>
                <w:szCs w:val="21"/>
                <w:lang w:val="en-US" w:eastAsia="zh-CN" w:bidi="ar"/>
              </w:rPr>
              <w:t xml:space="preserve">2</w:t>
            </w:r>
            <w:r>
              <w:rPr>
                <w:rFonts w:hint="eastAsia" w:ascii="微软雅黑" w:hAnsi="微软雅黑" w:eastAsia="微软雅黑" w:cs="微软雅黑"/>
                <w:b/>
                <w:bCs/>
                <w:szCs w:val="21"/>
                <w:lang w:eastAsia="zh-CN"/>
              </w:rPr>
            </w:r>
            <w:r/>
          </w:p>
        </w:tc>
      </w:tr>
    </w:tbl>
    <w:p>
      <w:pPr>
        <w:pStyle w:val="1044"/>
        <w:spacing w:line="420" w:lineRule="exact"/>
        <w:rPr>
          <w:rFonts w:hint="eastAsia" w:ascii="微软雅黑" w:hAnsi="微软雅黑" w:cs="微软雅黑"/>
          <w:b/>
          <w:sz w:val="24"/>
          <w:szCs w:val="24"/>
        </w:rPr>
      </w:pPr>
      <w:r>
        <w:rPr>
          <w:rFonts w:hint="eastAsia" w:ascii="微软雅黑" w:hAnsi="微软雅黑" w:cs="微软雅黑"/>
          <w:b/>
          <w:sz w:val="24"/>
          <w:szCs w:val="24"/>
        </w:rPr>
      </w:r>
      <w:r/>
    </w:p>
    <w:p>
      <w:pPr>
        <w:pStyle w:val="1044"/>
        <w:spacing w:line="42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p>
      <w:pPr>
        <w:pStyle w:val="1044"/>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一、政府采购政策功能落实</w:t>
      </w:r>
      <w:r>
        <w:rPr>
          <w:rFonts w:hint="eastAsia" w:ascii="微软雅黑" w:hAnsi="微软雅黑" w:cs="微软雅黑"/>
          <w:b/>
          <w:bCs/>
          <w:szCs w:val="21"/>
        </w:rPr>
      </w:r>
      <w:r/>
    </w:p>
    <w:p>
      <w:pPr>
        <w:pStyle w:val="1044"/>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1044"/>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本项目对小型和微型企业产品给予5%的扣除价格，用扣除后的价格参与评审。</w:t>
      </w:r>
      <w:r>
        <w:rPr>
          <w:rFonts w:hint="eastAsia" w:ascii="微软雅黑" w:hAnsi="微软雅黑" w:cs="微软雅黑"/>
          <w:szCs w:val="21"/>
        </w:rPr>
      </w:r>
      <w:r/>
    </w:p>
    <w:p>
      <w:pPr>
        <w:pStyle w:val="1044"/>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1044"/>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1044"/>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1044"/>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本项目对残疾人福利性单位给予5%的价格扣除，用扣除后的价格参与评审。</w:t>
      </w:r>
      <w:r>
        <w:rPr>
          <w:rFonts w:hint="eastAsia" w:ascii="微软雅黑" w:hAnsi="微软雅黑" w:cs="微软雅黑"/>
          <w:szCs w:val="21"/>
        </w:rPr>
      </w:r>
      <w:r/>
    </w:p>
    <w:p>
      <w:pPr>
        <w:pStyle w:val="1044"/>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1044"/>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1044"/>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1044"/>
        <w:numPr>
          <w:ilvl w:val="0"/>
          <w:numId w:val="8"/>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本项目对监狱和戒毒企业（简称监狱企业）给予5%的价格扣除，用扣除后的价格参与评审。</w:t>
      </w:r>
      <w:r>
        <w:rPr>
          <w:rFonts w:hint="eastAsia" w:ascii="微软雅黑" w:hAnsi="微软雅黑" w:cs="微软雅黑"/>
          <w:szCs w:val="21"/>
        </w:rPr>
      </w:r>
      <w:r/>
    </w:p>
    <w:p>
      <w:pPr>
        <w:pStyle w:val="1044"/>
        <w:numPr>
          <w:ilvl w:val="0"/>
          <w:numId w:val="8"/>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1044"/>
        <w:numPr>
          <w:ilvl w:val="0"/>
          <w:numId w:val="8"/>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1044"/>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rPr>
          <w:rFonts w:hint="eastAsia" w:ascii="微软雅黑" w:hAnsi="微软雅黑" w:cs="微软雅黑"/>
          <w:szCs w:val="21"/>
        </w:rPr>
      </w:r>
      <w:r/>
    </w:p>
    <w:p>
      <w:pPr>
        <w:pStyle w:val="1045"/>
        <w:spacing w:line="420" w:lineRule="exact"/>
        <w:rPr>
          <w:rFonts w:hint="eastAsia" w:ascii="微软雅黑" w:hAnsi="微软雅黑" w:cs="微软雅黑"/>
          <w:szCs w:val="32"/>
        </w:rPr>
      </w:pPr>
      <w:r>
        <w:rPr>
          <w:rFonts w:hint="eastAsia" w:ascii="微软雅黑" w:hAnsi="微软雅黑" w:cs="微软雅黑"/>
        </w:rPr>
        <w:br w:type="page" w:clear="all"/>
      </w:r>
      <w:bookmarkStart w:id="130" w:name="_Toc25981"/>
      <w:r/>
      <w:bookmarkStart w:id="131" w:name="_Toc21811"/>
      <w:r>
        <w:rPr>
          <w:rFonts w:hint="eastAsia" w:ascii="微软雅黑" w:hAnsi="微软雅黑" w:cs="微软雅黑"/>
          <w:szCs w:val="32"/>
        </w:rPr>
        <w:t xml:space="preserve">第四章 项目采购需求</w:t>
      </w:r>
      <w:bookmarkEnd w:id="130"/>
      <w:r/>
      <w:bookmarkEnd w:id="131"/>
      <w:r>
        <w:rPr>
          <w:rFonts w:hint="eastAsia" w:ascii="微软雅黑" w:hAnsi="微软雅黑" w:cs="微软雅黑"/>
          <w:szCs w:val="32"/>
        </w:rPr>
      </w:r>
      <w:r/>
    </w:p>
    <w:p>
      <w:pPr>
        <w:pStyle w:val="1044"/>
        <w:spacing w:line="420" w:lineRule="exact"/>
        <w:rPr>
          <w:b/>
          <w:bCs/>
        </w:rPr>
      </w:pPr>
      <w:r/>
      <w:bookmarkStart w:id="132" w:name="_Toc22289"/>
      <w:r>
        <w:rPr>
          <w:rFonts w:hint="eastAsia"/>
          <w:b/>
          <w:bCs/>
        </w:rPr>
        <w:t xml:space="preserve">一、项目概况</w:t>
      </w:r>
      <w:r>
        <w:rPr>
          <w:b/>
          <w:bCs/>
        </w:rPr>
      </w:r>
      <w:r/>
    </w:p>
    <w:p>
      <w:pPr>
        <w:pStyle w:val="1044"/>
        <w:ind w:firstLine="420"/>
        <w:spacing w:line="440" w:lineRule="exact"/>
        <w:rPr>
          <w:rFonts w:ascii="微软雅黑" w:hAnsi="微软雅黑" w:cs="微软雅黑"/>
        </w:rPr>
      </w:pPr>
      <w:r>
        <w:rPr>
          <w:rFonts w:hint="eastAsia" w:ascii="微软雅黑" w:hAnsi="微软雅黑" w:cs="微软雅黑"/>
        </w:rPr>
        <w:t xml:space="preserve">1、工程地点：南京医科大学江宁校区</w:t>
      </w:r>
      <w:r>
        <w:rPr>
          <w:rFonts w:ascii="微软雅黑" w:hAnsi="微软雅黑" w:cs="微软雅黑"/>
        </w:rPr>
      </w:r>
      <w:r/>
    </w:p>
    <w:p>
      <w:pPr>
        <w:pStyle w:val="1044"/>
        <w:ind w:firstLine="420"/>
        <w:spacing w:line="420" w:lineRule="exact"/>
        <w:rPr>
          <w:rFonts w:hint="eastAsia"/>
        </w:rPr>
      </w:pPr>
      <w:r>
        <w:rPr>
          <w:rFonts w:hint="eastAsia" w:ascii="微软雅黑" w:hAnsi="微软雅黑" w:cs="微软雅黑"/>
        </w:rPr>
        <w:t xml:space="preserve">2、建设内容：</w:t>
      </w:r>
      <w:r>
        <w:rPr>
          <w:rFonts w:hint="eastAsia"/>
        </w:rPr>
        <w:t xml:space="preserve">南京医科大学江宁校区二期电力增容工程(南苑08栋公寓配套)包括设备采购、配套施工及安装服务等。项目范围包括校内进线电缆</w:t>
      </w:r>
      <w:r>
        <w:rPr>
          <w:rFonts w:hint="eastAsia"/>
          <w:lang w:val="en-US" w:eastAsia="zh-CN"/>
        </w:rPr>
        <w:t xml:space="preserve">敷设</w:t>
      </w:r>
      <w:r>
        <w:rPr>
          <w:rFonts w:hint="eastAsia"/>
        </w:rPr>
        <w:t xml:space="preserve">，</w:t>
      </w:r>
      <w:r>
        <w:rPr>
          <w:rFonts w:hint="eastAsia"/>
          <w:lang w:val="en-US" w:eastAsia="zh-CN"/>
        </w:rPr>
        <w:t xml:space="preserve">体育馆变电所</w:t>
      </w:r>
      <w:r>
        <w:rPr>
          <w:rFonts w:hint="eastAsia"/>
        </w:rPr>
        <w:t xml:space="preserve">电气设备采购</w:t>
      </w:r>
      <w:r>
        <w:rPr>
          <w:rFonts w:hint="eastAsia"/>
          <w:lang w:val="en-US" w:eastAsia="zh-CN"/>
        </w:rPr>
        <w:t xml:space="preserve">安装</w:t>
      </w:r>
      <w:r>
        <w:rPr>
          <w:rFonts w:hint="eastAsia"/>
        </w:rPr>
        <w:t xml:space="preserve">及土建基础施工等。本项目新建变电所，主要包括10kV及0.4kV配电装置、主变压器、0.4kV无功补偿、所用交直流电系统、接地工程等一、二次部分</w:t>
      </w:r>
      <w:r>
        <w:rPr>
          <w:rFonts w:hint="eastAsia"/>
          <w:lang w:val="en-US" w:eastAsia="zh-CN"/>
        </w:rPr>
        <w:t xml:space="preserve">等</w:t>
      </w:r>
      <w:r>
        <w:rPr>
          <w:rFonts w:hint="eastAsia"/>
        </w:rPr>
        <w:t xml:space="preserve">。（具体内容详见采购文件和工程量清单、图纸）。</w:t>
      </w:r>
      <w:r>
        <w:rPr>
          <w:rFonts w:hint="eastAsia"/>
        </w:rPr>
      </w:r>
      <w:r/>
    </w:p>
    <w:p>
      <w:pPr>
        <w:pStyle w:val="1044"/>
        <w:ind w:firstLine="420"/>
        <w:jc w:val="left"/>
        <w:spacing w:line="440" w:lineRule="exact"/>
        <w:rPr>
          <w:rFonts w:hint="eastAsia"/>
        </w:rPr>
      </w:pPr>
      <w:r>
        <w:rPr>
          <w:rFonts w:hint="eastAsia" w:ascii="微软雅黑" w:hAnsi="微软雅黑" w:cs="微软雅黑"/>
          <w:szCs w:val="21"/>
        </w:rPr>
        <w:t xml:space="preserve">3、施工的要求：按照国家规范施工，保证工程质量，同时在施工过程中积极配合市政部门，文明施工，并通过供电公司验收。</w:t>
      </w:r>
      <w:r>
        <w:rPr>
          <w:rFonts w:hint="eastAsia"/>
        </w:rPr>
      </w:r>
      <w:r/>
    </w:p>
    <w:p>
      <w:pPr>
        <w:pStyle w:val="1044"/>
        <w:spacing w:line="420" w:lineRule="exact"/>
        <w:rPr>
          <w:rFonts w:hint="eastAsia" w:ascii="微软雅黑" w:hAnsi="微软雅黑" w:cs="微软雅黑"/>
          <w:szCs w:val="21"/>
        </w:rPr>
      </w:pPr>
      <w:r>
        <w:rPr>
          <w:rFonts w:hint="eastAsia" w:ascii="微软雅黑" w:hAnsi="微软雅黑" w:cs="微软雅黑"/>
          <w:b/>
          <w:bCs/>
          <w:szCs w:val="21"/>
        </w:rPr>
        <w:t xml:space="preserve">二、工程量清单和图纸：</w:t>
      </w:r>
      <w:r>
        <w:rPr>
          <w:rFonts w:hint="eastAsia" w:ascii="微软雅黑" w:hAnsi="微软雅黑" w:cs="微软雅黑"/>
          <w:szCs w:val="21"/>
        </w:rPr>
        <w:t xml:space="preserve">详见附件，随采购文件一起发送至各投标人邮箱。</w:t>
      </w:r>
      <w:r>
        <w:rPr>
          <w:rFonts w:hint="eastAsia" w:ascii="微软雅黑" w:hAnsi="微软雅黑" w:cs="微软雅黑"/>
          <w:szCs w:val="21"/>
        </w:rPr>
      </w:r>
      <w:r/>
    </w:p>
    <w:p>
      <w:pPr>
        <w:pStyle w:val="1044"/>
        <w:spacing w:line="420" w:lineRule="exact"/>
        <w:rPr>
          <w:rFonts w:hint="eastAsia" w:ascii="微软雅黑" w:hAnsi="微软雅黑" w:cs="微软雅黑"/>
          <w:b/>
          <w:bCs/>
          <w:szCs w:val="21"/>
        </w:rPr>
      </w:pPr>
      <w:r>
        <w:rPr>
          <w:rFonts w:hint="eastAsia" w:ascii="微软雅黑" w:hAnsi="微软雅黑" w:cs="微软雅黑"/>
          <w:b/>
          <w:bCs/>
          <w:szCs w:val="21"/>
        </w:rPr>
        <w:t xml:space="preserve">三、技术要求</w:t>
      </w:r>
      <w:r>
        <w:rPr>
          <w:rFonts w:hint="eastAsia" w:ascii="微软雅黑" w:hAnsi="微软雅黑" w:cs="微软雅黑"/>
          <w:b/>
          <w:bCs/>
          <w:szCs w:val="21"/>
        </w:rPr>
      </w:r>
      <w:r/>
    </w:p>
    <w:p>
      <w:pPr>
        <w:pStyle w:val="1044"/>
        <w:ind w:firstLine="420"/>
        <w:spacing w:line="440" w:lineRule="exact"/>
        <w:rPr>
          <w:rFonts w:hint="eastAsia" w:ascii="微软雅黑" w:hAnsi="微软雅黑" w:cs="微软雅黑"/>
          <w:szCs w:val="21"/>
          <w:lang w:val="en-US" w:eastAsia="zh-CN"/>
        </w:rPr>
      </w:pPr>
      <w:r>
        <w:rPr>
          <w:rFonts w:hint="eastAsia" w:ascii="微软雅黑" w:hAnsi="微软雅黑" w:cs="微软雅黑"/>
          <w:szCs w:val="21"/>
        </w:rPr>
        <w:t xml:space="preserve">1、医科大学</w:t>
      </w:r>
      <w:r>
        <w:rPr>
          <w:rFonts w:hint="eastAsia" w:ascii="微软雅黑" w:hAnsi="微软雅黑" w:cs="微软雅黑"/>
          <w:szCs w:val="21"/>
          <w:lang w:val="en-US" w:eastAsia="zh-CN"/>
        </w:rPr>
        <w:t xml:space="preserve">直流屏-技术规范书（详见项目采购需求附件一）</w:t>
      </w:r>
      <w:r>
        <w:rPr>
          <w:rFonts w:hint="eastAsia" w:ascii="微软雅黑" w:hAnsi="微软雅黑" w:cs="微软雅黑"/>
          <w:szCs w:val="21"/>
          <w:lang w:val="en-US" w:eastAsia="zh-CN"/>
        </w:rPr>
      </w:r>
      <w:r/>
    </w:p>
    <w:p>
      <w:pPr>
        <w:pStyle w:val="1044"/>
        <w:ind w:firstLine="420"/>
        <w:spacing w:line="44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2、医科大学变压器-技术规范书（详见项目采购需求附件二）</w:t>
      </w:r>
      <w:r>
        <w:rPr>
          <w:rFonts w:hint="eastAsia" w:ascii="微软雅黑" w:hAnsi="微软雅黑" w:cs="微软雅黑"/>
          <w:szCs w:val="21"/>
          <w:lang w:val="en-US" w:eastAsia="zh-CN"/>
        </w:rPr>
      </w:r>
      <w:r/>
    </w:p>
    <w:p>
      <w:pPr>
        <w:pStyle w:val="1044"/>
        <w:ind w:firstLine="420"/>
        <w:spacing w:line="44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3、医科大学环网柜-技术规范书（详见项目采购需求附件三）</w:t>
      </w:r>
      <w:r>
        <w:rPr>
          <w:rFonts w:hint="eastAsia" w:ascii="微软雅黑" w:hAnsi="微软雅黑" w:cs="微软雅黑"/>
          <w:szCs w:val="21"/>
          <w:lang w:val="en-US" w:eastAsia="zh-CN"/>
        </w:rPr>
      </w:r>
      <w:r/>
    </w:p>
    <w:p>
      <w:pPr>
        <w:pStyle w:val="1044"/>
        <w:ind w:firstLine="420"/>
        <w:spacing w:line="44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4、医科大学低压开关柜-技术规范书（详见项目采购需求附件四）</w:t>
      </w:r>
      <w:r>
        <w:rPr>
          <w:rFonts w:hint="eastAsia" w:ascii="微软雅黑" w:hAnsi="微软雅黑" w:cs="微软雅黑"/>
          <w:szCs w:val="21"/>
          <w:lang w:val="en-US" w:eastAsia="zh-CN"/>
        </w:rPr>
      </w:r>
      <w:r/>
    </w:p>
    <w:p>
      <w:pPr>
        <w:pStyle w:val="1044"/>
        <w:ind w:firstLine="420"/>
        <w:spacing w:line="440" w:lineRule="exact"/>
        <w:rPr>
          <w:rFonts w:hint="eastAsia" w:ascii="微软雅黑" w:hAnsi="微软雅黑" w:cs="微软雅黑"/>
          <w:color w:val="000000"/>
          <w:szCs w:val="21"/>
          <w:lang w:val="en-US" w:eastAsia="zh-CN"/>
        </w:rPr>
      </w:pPr>
      <w:r>
        <w:rPr>
          <w:rFonts w:hint="eastAsia" w:ascii="微软雅黑" w:hAnsi="微软雅黑" w:cs="微软雅黑"/>
          <w:szCs w:val="21"/>
          <w:lang w:val="en-US" w:eastAsia="zh-CN"/>
        </w:rPr>
        <w:t xml:space="preserve">5</w:t>
      </w:r>
      <w:r>
        <w:rPr>
          <w:rFonts w:hint="eastAsia" w:ascii="微软雅黑" w:hAnsi="微软雅黑" w:cs="微软雅黑"/>
          <w:color w:val="000000"/>
          <w:szCs w:val="21"/>
          <w:lang w:val="en-US" w:eastAsia="zh-CN"/>
        </w:rPr>
        <w:t xml:space="preserve">、医科大学低压电容柜-技术规范书（详见项目采购需求附件五）</w:t>
      </w:r>
      <w:r>
        <w:rPr>
          <w:rFonts w:hint="eastAsia" w:ascii="微软雅黑" w:hAnsi="微软雅黑" w:cs="微软雅黑"/>
          <w:color w:val="000000"/>
          <w:szCs w:val="21"/>
          <w:lang w:val="en-US" w:eastAsia="zh-CN"/>
        </w:rPr>
      </w:r>
      <w:r/>
    </w:p>
    <w:p>
      <w:pPr>
        <w:pStyle w:val="1044"/>
        <w:ind w:firstLine="420"/>
        <w:rPr>
          <w:color w:val="000000"/>
        </w:rPr>
      </w:pPr>
      <w:r>
        <w:rPr>
          <w:rFonts w:hint="eastAsia"/>
          <w:color w:val="000000"/>
        </w:rPr>
        <w:t xml:space="preserve">注：若技术规范书与图纸不一致，以本项目发布的图纸为准。</w:t>
      </w:r>
      <w:r>
        <w:rPr>
          <w:color w:val="000000"/>
        </w:rPr>
      </w:r>
      <w:r/>
    </w:p>
    <w:p>
      <w:pPr>
        <w:pStyle w:val="1044"/>
        <w:spacing w:line="420" w:lineRule="exact"/>
        <w:rPr>
          <w:rFonts w:ascii="微软雅黑" w:hAnsi="微软雅黑" w:cs="微软雅黑"/>
          <w:b/>
          <w:bCs/>
          <w:szCs w:val="21"/>
        </w:rPr>
      </w:pPr>
      <w:r>
        <w:rPr>
          <w:rFonts w:hint="eastAsia" w:ascii="微软雅黑" w:hAnsi="微软雅黑" w:cs="微软雅黑"/>
          <w:b/>
          <w:bCs/>
          <w:szCs w:val="21"/>
        </w:rPr>
        <w:t xml:space="preserve">四、商务要求</w:t>
      </w:r>
      <w:r>
        <w:rPr>
          <w:rFonts w:ascii="微软雅黑" w:hAnsi="微软雅黑" w:cs="微软雅黑"/>
          <w:b/>
          <w:bCs/>
          <w:szCs w:val="21"/>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t xml:space="preserve">1、工期：合同签订后</w:t>
      </w:r>
      <w:r>
        <w:rPr>
          <w:rFonts w:hint="eastAsia" w:ascii="微软雅黑" w:hAnsi="微软雅黑" w:cs="微软雅黑"/>
          <w:lang w:val="en-US" w:eastAsia="zh-CN"/>
        </w:rPr>
        <w:t xml:space="preserve">75</w:t>
      </w:r>
      <w:r>
        <w:rPr>
          <w:rFonts w:hint="eastAsia" w:ascii="微软雅黑" w:hAnsi="微软雅黑" w:cs="微软雅黑"/>
        </w:rPr>
        <w:t xml:space="preserve">个日历天（开工日期以招标人通知为准）。</w:t>
      </w: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t xml:space="preserve">2、免费保修期：不低于2年。</w:t>
      </w: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rPr>
      </w:pPr>
      <w:r>
        <w:rPr>
          <w:rFonts w:hint="eastAsia" w:ascii="微软雅黑" w:hAnsi="微软雅黑" w:cs="微软雅黑"/>
        </w:rPr>
      </w:r>
      <w:r/>
    </w:p>
    <w:p>
      <w:pPr>
        <w:pStyle w:val="1070"/>
        <w:ind w:left="0"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3、本项目</w:t>
      </w:r>
      <w:bookmarkStart w:id="133" w:name="_Toc13007"/>
      <w:r>
        <w:rPr>
          <w:rFonts w:hint="eastAsia" w:ascii="微软雅黑" w:hAnsi="微软雅黑" w:cs="微软雅黑"/>
          <w:highlight w:val="none"/>
        </w:rPr>
        <w:t xml:space="preserve">主要设备材料采购要求</w:t>
      </w:r>
      <w:bookmarkEnd w:id="133"/>
      <w:r>
        <w:rPr>
          <w:rFonts w:hint="eastAsia" w:ascii="微软雅黑" w:hAnsi="微软雅黑" w:cs="微软雅黑"/>
          <w:highlight w:val="none"/>
        </w:rPr>
      </w:r>
      <w:r/>
    </w:p>
    <w:tbl>
      <w:tblPr>
        <w:tblW w:w="84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5"/>
        <w:gridCol w:w="2061"/>
        <w:gridCol w:w="5607"/>
      </w:tblGrid>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rPr>
            </w:pPr>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rPr>
              <w:t xml:space="preserve">名称</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jc w:val="center"/>
              <w:spacing w:line="440" w:lineRule="exact"/>
              <w:rPr>
                <w:rFonts w:hint="eastAsia"/>
              </w:rPr>
            </w:pPr>
            <w:r>
              <w:rPr>
                <w:rFonts w:hint="eastAsia"/>
              </w:rPr>
              <w:t xml:space="preserve">推荐品牌（参照或相当于）</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val="en-US" w:eastAsia="zh-CN"/>
              </w:rPr>
            </w:pPr>
            <w:r>
              <w:rPr>
                <w:rFonts w:hint="eastAsia"/>
                <w:lang w:val="en-US" w:eastAsia="zh-CN"/>
              </w:rPr>
              <w:t xml:space="preserve">1</w:t>
            </w:r>
            <w:r>
              <w:rPr>
                <w:rFonts w:hint="eastAsia" w:eastAsia="微软雅黑"/>
                <w:lang w:val="en-US"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eastAsia="微软雅黑"/>
                <w:lang w:val="en-US" w:eastAsia="zh-CN"/>
              </w:rPr>
            </w:pPr>
            <w:r>
              <w:rPr>
                <w:rFonts w:hint="eastAsia"/>
                <w:lang w:val="en-US" w:eastAsia="zh-CN"/>
              </w:rPr>
              <w:t xml:space="preserve">高压环网柜</w:t>
            </w:r>
            <w:r>
              <w:rPr>
                <w:rFonts w:eastAsia="微软雅黑"/>
                <w:lang w:val="en-US" w:eastAsia="zh-CN"/>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ascii="微软雅黑" w:hAnsi="微软雅黑" w:eastAsia="微软雅黑" w:cs="微软雅黑"/>
                <w:sz w:val="21"/>
                <w:szCs w:val="21"/>
                <w:lang w:val="en-US" w:eastAsia="zh-CN" w:bidi="ar-SA"/>
              </w:rPr>
              <w:t xml:space="preserve">施耐德RM6系列、ABB Safe系列、西门子8DJH系列</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eastAsia="zh-CN"/>
              </w:rPr>
            </w:pPr>
            <w:r>
              <w:rPr>
                <w:rFonts w:hint="eastAsia"/>
                <w:lang w:val="en-US" w:eastAsia="zh-CN"/>
              </w:rPr>
              <w:t xml:space="preserve">2</w:t>
            </w:r>
            <w:r>
              <w:rPr>
                <w:rFonts w:hint="eastAsia" w:eastAsia="微软雅黑"/>
                <w:lang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rPr>
              <w:t xml:space="preserve">框架断路器</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rPr>
              <w:t xml:space="preserve">施耐德MT系列、ABB EMAX2系列、西门子3WL系列</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eastAsia="zh-CN"/>
              </w:rPr>
            </w:pPr>
            <w:r>
              <w:rPr>
                <w:rFonts w:hint="eastAsia"/>
                <w:lang w:val="en-US" w:eastAsia="zh-CN"/>
              </w:rPr>
              <w:t xml:space="preserve">3</w:t>
            </w:r>
            <w:r>
              <w:rPr>
                <w:rFonts w:hint="eastAsia" w:eastAsia="微软雅黑"/>
                <w:lang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rPr>
              <w:t xml:space="preserve">塑壳断路器</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rPr>
              <w:t xml:space="preserve">施耐德NSX系列、ABB T</w:t>
            </w:r>
            <w:r>
              <w:rPr>
                <w:rFonts w:hint="eastAsia"/>
                <w:lang w:val="en-US" w:eastAsia="zh-CN"/>
              </w:rPr>
              <w:t xml:space="preserve">MAX</w:t>
            </w:r>
            <w:r>
              <w:rPr>
                <w:rFonts w:hint="eastAsia"/>
              </w:rPr>
              <w:t xml:space="preserve">系列、西门子3VA系列</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eastAsia="zh-CN"/>
              </w:rPr>
            </w:pPr>
            <w:r>
              <w:rPr>
                <w:rFonts w:hint="eastAsia"/>
                <w:lang w:val="en-US" w:eastAsia="zh-CN"/>
              </w:rPr>
              <w:t xml:space="preserve">4</w:t>
            </w:r>
            <w:r>
              <w:rPr>
                <w:rFonts w:hint="eastAsia" w:eastAsia="微软雅黑"/>
                <w:lang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rPr>
              <w:t xml:space="preserve">微型断路器</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rPr>
              <w:t xml:space="preserve">施耐德A9S系列、ABB S200系列、西门子5SY系列</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eastAsia="zh-CN"/>
              </w:rPr>
            </w:pPr>
            <w:r>
              <w:rPr>
                <w:rFonts w:hint="eastAsia"/>
                <w:lang w:val="en-US" w:eastAsia="zh-CN"/>
              </w:rPr>
              <w:t xml:space="preserve">5</w:t>
            </w:r>
            <w:r>
              <w:rPr>
                <w:rFonts w:hint="eastAsia" w:eastAsia="微软雅黑"/>
                <w:lang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rPr>
              <w:t xml:space="preserve">变压器</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rPr>
              <w:t xml:space="preserve">华鹏电气，金盘电气，中电电气</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eastAsia="zh-CN"/>
              </w:rPr>
            </w:pPr>
            <w:r>
              <w:rPr>
                <w:rFonts w:hint="eastAsia"/>
                <w:lang w:val="en-US" w:eastAsia="zh-CN"/>
              </w:rPr>
              <w:t xml:space="preserve">6</w:t>
            </w:r>
            <w:r>
              <w:rPr>
                <w:rFonts w:hint="eastAsia" w:eastAsia="微软雅黑"/>
                <w:lang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rPr>
              <w:t xml:space="preserve">多功能表</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rPr>
              <w:t xml:space="preserve">海恩德、斯菲尔、珠海派诺</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hint="eastAsia" w:eastAsia="微软雅黑"/>
                <w:lang w:eastAsia="zh-CN"/>
              </w:rPr>
            </w:pPr>
            <w:r>
              <w:rPr>
                <w:rFonts w:hint="eastAsia"/>
                <w:lang w:val="en-US" w:eastAsia="zh-CN"/>
              </w:rPr>
              <w:t xml:space="preserve">7</w:t>
            </w:r>
            <w:r>
              <w:rPr>
                <w:rFonts w:hint="eastAsia" w:eastAsia="微软雅黑"/>
                <w:lang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hint="eastAsia"/>
              </w:rPr>
            </w:pPr>
            <w:r>
              <w:rPr>
                <w:rFonts w:hint="eastAsia"/>
                <w:lang w:val="en-US" w:eastAsia="zh-CN"/>
              </w:rPr>
              <w:t xml:space="preserve">电力</w:t>
            </w:r>
            <w:r>
              <w:rPr>
                <w:rFonts w:hint="eastAsia"/>
              </w:rPr>
              <w:t xml:space="preserve">电缆</w:t>
            </w:r>
            <w:r>
              <w:rPr>
                <w:rFonts w:hint="eastAsia"/>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rPr>
            </w:pPr>
            <w:r>
              <w:rPr>
                <w:rFonts w:hint="eastAsia"/>
              </w:rPr>
              <w:t xml:space="preserve">宝胜、远东、江南</w:t>
            </w:r>
            <w:r>
              <w:rPr>
                <w:rFonts w:hint="eastAsia"/>
              </w:rPr>
            </w:r>
            <w:r/>
          </w:p>
        </w:tc>
      </w:tr>
      <w:tr>
        <w:trPr>
          <w:trHeight w:val="63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1044"/>
              <w:jc w:val="center"/>
              <w:spacing w:line="440" w:lineRule="exact"/>
              <w:rPr>
                <w:rFonts w:eastAsia="微软雅黑"/>
                <w:highlight w:val="none"/>
                <w:lang w:val="en-US" w:eastAsia="zh-CN"/>
              </w:rPr>
            </w:pPr>
            <w:r>
              <w:rPr>
                <w:rFonts w:hint="eastAsia"/>
                <w:highlight w:val="none"/>
                <w:lang w:val="en-US" w:eastAsia="zh-CN"/>
              </w:rPr>
              <w:t xml:space="preserve">8</w:t>
            </w:r>
            <w:r>
              <w:rPr>
                <w:rFonts w:eastAsia="微软雅黑"/>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pStyle w:val="1044"/>
              <w:jc w:val="center"/>
              <w:spacing w:line="440" w:lineRule="exact"/>
              <w:rPr>
                <w:rFonts w:eastAsia="微软雅黑"/>
                <w:highlight w:val="none"/>
                <w:lang w:val="en-US" w:eastAsia="zh-CN"/>
              </w:rPr>
            </w:pPr>
            <w:r>
              <w:rPr>
                <w:rFonts w:hint="eastAsia"/>
                <w:highlight w:val="none"/>
              </w:rPr>
              <w:t xml:space="preserve">无功补偿</w:t>
            </w:r>
            <w:r>
              <w:rPr>
                <w:rFonts w:hint="eastAsia"/>
                <w:highlight w:val="none"/>
                <w:lang w:val="en-US" w:eastAsia="zh-CN"/>
              </w:rPr>
              <w:t xml:space="preserve">、有源滤波</w:t>
            </w:r>
            <w:r>
              <w:rPr>
                <w:rFonts w:eastAsia="微软雅黑"/>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tcPr>
          <w:p>
            <w:pPr>
              <w:pStyle w:val="1044"/>
              <w:spacing w:line="440" w:lineRule="exact"/>
              <w:rPr>
                <w:rFonts w:hint="eastAsia"/>
                <w:highlight w:val="none"/>
              </w:rPr>
            </w:pPr>
            <w:r>
              <w:rPr>
                <w:rFonts w:hint="eastAsia"/>
                <w:highlight w:val="none"/>
              </w:rPr>
              <w:t xml:space="preserve">艾格纳电气（ERGUN）、拉赛电气（LST）、斯坦艾德电气（STD）</w:t>
            </w:r>
            <w:r>
              <w:rPr>
                <w:rFonts w:hint="eastAsia"/>
                <w:highlight w:val="none"/>
              </w:rPr>
            </w:r>
            <w:r/>
          </w:p>
        </w:tc>
      </w:tr>
    </w:tbl>
    <w:p>
      <w:pPr>
        <w:pStyle w:val="1044"/>
        <w:ind w:firstLine="420"/>
        <w:spacing w:line="440" w:lineRule="exact"/>
        <w:rPr>
          <w:rFonts w:hint="eastAsia"/>
        </w:rPr>
      </w:pPr>
      <w:r>
        <w:rPr>
          <w:rFonts w:hint="eastAsia" w:ascii="Times New Roman" w:hAnsi="Times New Roman" w:cs="Times New Roman"/>
          <w:highlight w:val="none"/>
        </w:rPr>
        <w:t xml:space="preserve">注：</w:t>
      </w:r>
      <w:r>
        <w:rPr>
          <w:rFonts w:hint="eastAsia" w:ascii="Calibri" w:hAnsi="Calibri" w:cs="Calibri"/>
          <w:highlight w:val="none"/>
        </w:rPr>
        <w:t xml:space="preserve">（1）</w:t>
      </w:r>
      <w:r>
        <w:rPr>
          <w:rFonts w:hint="eastAsia"/>
          <w:highlight w:val="none"/>
        </w:rPr>
        <w:t xml:space="preserve">投标人应参照或选用相当于采购人推荐的品牌，否则采购人有权在推荐品牌范围内任选一个品牌进行施工;材料进场前需监理、建设单位、设计及施工单位三方共同确认所进场的材</w:t>
      </w:r>
      <w:r>
        <w:rPr>
          <w:rFonts w:hint="eastAsia"/>
        </w:rPr>
        <w:t xml:space="preserve">料符合是否文件要求，若因材料问题造成的工期延误、窝工以及材料的浪费等一切损失均由施工方负责。</w:t>
      </w:r>
      <w:r>
        <w:rPr>
          <w:rFonts w:hint="eastAsia"/>
        </w:rPr>
      </w:r>
      <w:r/>
    </w:p>
    <w:p>
      <w:pPr>
        <w:pStyle w:val="1044"/>
        <w:numPr>
          <w:ilvl w:val="0"/>
          <w:numId w:val="0"/>
        </w:numPr>
        <w:ind w:firstLine="420"/>
        <w:spacing w:line="440" w:lineRule="exact"/>
        <w:rPr>
          <w:rFonts w:hint="eastAsia"/>
        </w:rPr>
      </w:pPr>
      <w:r>
        <w:rPr>
          <w:rFonts w:hint="eastAsia" w:eastAsia="微软雅黑"/>
          <w:sz w:val="21"/>
          <w:szCs w:val="22"/>
          <w:lang w:val="en-US" w:eastAsia="zh-CN" w:bidi="ar-SA"/>
        </w:rPr>
        <w:t xml:space="preserve">（</w:t>
      </w:r>
      <w:r>
        <w:rPr>
          <w:rFonts w:hint="eastAsia"/>
          <w:sz w:val="21"/>
          <w:szCs w:val="22"/>
          <w:lang w:val="en-US" w:eastAsia="zh-CN" w:bidi="ar-SA"/>
        </w:rPr>
        <w:t xml:space="preserve">2</w:t>
      </w:r>
      <w:r>
        <w:rPr>
          <w:rFonts w:hint="eastAsia" w:eastAsia="微软雅黑"/>
          <w:sz w:val="21"/>
          <w:szCs w:val="22"/>
          <w:lang w:val="en-US" w:eastAsia="zh-CN" w:bidi="ar-SA"/>
        </w:rPr>
        <w:t xml:space="preserve">）</w:t>
      </w:r>
      <w:r>
        <w:rPr>
          <w:rFonts w:hint="eastAsia"/>
        </w:rPr>
        <w:t xml:space="preserve">所有</w:t>
      </w:r>
      <w:r>
        <w:rPr>
          <w:rFonts w:hint="eastAsia"/>
          <w:lang w:val="en-US" w:eastAsia="zh-CN"/>
        </w:rPr>
        <w:t xml:space="preserve">承包人提</w:t>
      </w:r>
      <w:r>
        <w:rPr>
          <w:rFonts w:hint="eastAsia"/>
        </w:rPr>
        <w:t xml:space="preserve">供材料品牌进场前须经建设单位书面确认，且价格不作调整。</w:t>
      </w:r>
      <w:r>
        <w:rPr>
          <w:rFonts w:hint="eastAsia"/>
        </w:rPr>
      </w:r>
      <w:r/>
    </w:p>
    <w:p>
      <w:pPr>
        <w:pStyle w:val="1044"/>
        <w:numPr>
          <w:ilvl w:val="0"/>
          <w:numId w:val="0"/>
        </w:numPr>
        <w:ind w:firstLine="420"/>
        <w:spacing w:line="440" w:lineRule="exact"/>
        <w:rPr>
          <w:rFonts w:hint="eastAsia"/>
        </w:rPr>
      </w:pPr>
      <w:r>
        <w:rPr>
          <w:rFonts w:hint="eastAsia" w:eastAsia="微软雅黑"/>
          <w:sz w:val="21"/>
          <w:szCs w:val="22"/>
          <w:lang w:val="en-US" w:eastAsia="zh-CN" w:bidi="ar-SA"/>
        </w:rPr>
        <w:t xml:space="preserve">（</w:t>
      </w:r>
      <w:r>
        <w:rPr>
          <w:rFonts w:hint="eastAsia"/>
          <w:sz w:val="21"/>
          <w:szCs w:val="22"/>
          <w:lang w:val="en-US" w:eastAsia="zh-CN" w:bidi="ar-SA"/>
        </w:rPr>
        <w:t xml:space="preserve">3</w:t>
      </w:r>
      <w:r>
        <w:rPr>
          <w:rFonts w:hint="eastAsia" w:eastAsia="微软雅黑"/>
          <w:sz w:val="21"/>
          <w:szCs w:val="22"/>
          <w:lang w:val="en-US" w:eastAsia="zh-CN" w:bidi="ar-SA"/>
        </w:rPr>
        <w:t xml:space="preserve">）</w:t>
      </w:r>
      <w:r>
        <w:rPr>
          <w:rFonts w:hint="eastAsia"/>
        </w:rPr>
        <w:t xml:space="preserve">所有产品均应为正规厂家生产的合格全新产品，所提供设备的生产、制造、安装等各项技术标准，应当符合国家（强制性）标准、各项规范要求；国家没有相应标准、规范的，可使用行业标准、规定；非标设备按招标约定的技术要求和规范。</w:t>
      </w:r>
      <w:r>
        <w:rPr>
          <w:rFonts w:hint="eastAsia"/>
        </w:rPr>
      </w:r>
      <w:r/>
    </w:p>
    <w:p>
      <w:pPr>
        <w:pStyle w:val="1044"/>
        <w:ind w:firstLine="420"/>
        <w:jc w:val="left"/>
        <w:spacing w:line="440" w:lineRule="exact"/>
        <w:rPr>
          <w:rFonts w:hint="eastAsia" w:ascii="微软雅黑" w:hAnsi="微软雅黑" w:cs="微软雅黑"/>
        </w:rPr>
      </w:pPr>
      <w:r>
        <w:rPr>
          <w:rFonts w:hint="eastAsia" w:ascii="微软雅黑" w:hAnsi="微软雅黑" w:cs="微软雅黑"/>
        </w:rPr>
        <w:t xml:space="preserve">付款方式：</w:t>
      </w:r>
      <w:r>
        <w:rPr>
          <w:rFonts w:hint="eastAsia" w:ascii="微软雅黑" w:hAnsi="微软雅黑" w:cs="微软雅黑"/>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rPr>
        <w:t xml:space="preserve">（1）本项目</w:t>
      </w:r>
      <w:r>
        <w:rPr>
          <w:rFonts w:hint="eastAsia" w:ascii="微软雅黑" w:hAnsi="微软雅黑" w:cs="微软雅黑"/>
          <w:lang w:eastAsia="zh-CN"/>
        </w:rPr>
        <w:t xml:space="preserve">发包人</w:t>
      </w:r>
      <w:r>
        <w:rPr>
          <w:rFonts w:hint="eastAsia" w:ascii="微软雅黑" w:hAnsi="微软雅黑" w:cs="微软雅黑"/>
        </w:rPr>
        <w:t xml:space="preserve">在</w:t>
      </w:r>
      <w:r>
        <w:rPr>
          <w:rFonts w:hint="eastAsia" w:ascii="微软雅黑" w:hAnsi="微软雅黑" w:cs="微软雅黑"/>
          <w:lang w:eastAsia="zh-CN"/>
        </w:rPr>
        <w:t xml:space="preserve">承包人</w:t>
      </w:r>
      <w:r>
        <w:rPr>
          <w:rFonts w:hint="eastAsia" w:ascii="微软雅黑" w:hAnsi="微软雅黑" w:cs="微软雅黑"/>
        </w:rPr>
        <w:t xml:space="preserve">进场两周后，</w:t>
      </w:r>
      <w:r>
        <w:rPr>
          <w:rFonts w:hint="eastAsia" w:ascii="微软雅黑" w:hAnsi="微软雅黑" w:cs="微软雅黑"/>
          <w:lang w:eastAsia="zh-CN"/>
        </w:rPr>
        <w:t xml:space="preserve">发包人</w:t>
      </w:r>
      <w:r>
        <w:rPr>
          <w:rFonts w:hint="eastAsia" w:ascii="微软雅黑" w:hAnsi="微软雅黑" w:cs="微软雅黑"/>
        </w:rPr>
        <w:t xml:space="preserve">进度款支付审核完成后，向</w:t>
      </w:r>
      <w:r>
        <w:rPr>
          <w:rFonts w:hint="eastAsia" w:ascii="微软雅黑" w:hAnsi="微软雅黑" w:cs="微软雅黑"/>
          <w:lang w:eastAsia="zh-CN"/>
        </w:rPr>
        <w:t xml:space="preserve">承包人</w:t>
      </w:r>
      <w:r>
        <w:rPr>
          <w:rFonts w:hint="eastAsia" w:ascii="微软雅黑" w:hAnsi="微软雅黑" w:cs="微软雅黑"/>
        </w:rPr>
        <w:t xml:space="preserve">支付合同价（扣除暂列金、暂估价等）的30%作为工程进度款（</w:t>
      </w:r>
      <w:r>
        <w:rPr>
          <w:rFonts w:hint="eastAsia" w:ascii="微软雅黑" w:hAnsi="微软雅黑" w:cs="微软雅黑"/>
          <w:lang w:eastAsia="zh-CN"/>
        </w:rPr>
        <w:t xml:space="preserve">承包人</w:t>
      </w:r>
      <w:r>
        <w:rPr>
          <w:rFonts w:hint="eastAsia" w:ascii="微软雅黑" w:hAnsi="微软雅黑" w:cs="微软雅黑"/>
        </w:rPr>
        <w:t xml:space="preserve">提供当次相应金额的增值税普通发票）；</w:t>
      </w:r>
      <w:r>
        <w:rPr>
          <w:rFonts w:ascii="微软雅黑" w:hAnsi="微软雅黑" w:cs="微软雅黑"/>
          <w:szCs w:val="21"/>
        </w:rPr>
      </w:r>
      <w:r/>
    </w:p>
    <w:p>
      <w:pPr>
        <w:pStyle w:val="1070"/>
        <w:ind w:left="0" w:firstLine="420"/>
        <w:spacing w:line="440" w:lineRule="exact"/>
        <w:rPr>
          <w:rFonts w:hint="eastAsia" w:ascii="微软雅黑" w:hAnsi="微软雅黑" w:cs="微软雅黑"/>
          <w:color w:val="000000"/>
        </w:rPr>
      </w:pPr>
      <w:r>
        <w:rPr>
          <w:rFonts w:hint="eastAsia" w:ascii="微软雅黑" w:hAnsi="微软雅黑" w:cs="微软雅黑"/>
        </w:rPr>
        <w:t xml:space="preserve">（2）工程完工验收合格送电交付使用，且</w:t>
      </w:r>
      <w:r>
        <w:rPr>
          <w:rFonts w:hint="eastAsia" w:ascii="微软雅黑" w:hAnsi="微软雅黑" w:cs="微软雅黑"/>
          <w:lang w:eastAsia="zh-CN"/>
        </w:rPr>
        <w:t xml:space="preserve">承包人</w:t>
      </w:r>
      <w:r>
        <w:rPr>
          <w:rFonts w:hint="eastAsia" w:ascii="微软雅黑" w:hAnsi="微软雅黑" w:cs="微软雅黑"/>
        </w:rPr>
        <w:t xml:space="preserve">向</w:t>
      </w:r>
      <w:r>
        <w:rPr>
          <w:rFonts w:hint="eastAsia" w:ascii="微软雅黑" w:hAnsi="微软雅黑" w:cs="微软雅黑"/>
          <w:lang w:eastAsia="zh-CN"/>
        </w:rPr>
        <w:t xml:space="preserve">发包人</w:t>
      </w:r>
      <w:r>
        <w:rPr>
          <w:rFonts w:hint="eastAsia" w:ascii="微软雅黑" w:hAnsi="微软雅黑" w:cs="微软雅黑"/>
        </w:rPr>
        <w:t xml:space="preserve">交合格的完整结算资料后，付至合同款（扣除暂列金、暂估价等）的80%</w:t>
      </w:r>
      <w:r>
        <w:rPr>
          <w:rFonts w:hint="eastAsia" w:ascii="微软雅黑" w:hAnsi="微软雅黑" w:cs="微软雅黑"/>
          <w:color w:val="000000"/>
        </w:rPr>
        <w:t xml:space="preserve">（</w:t>
      </w:r>
      <w:r>
        <w:rPr>
          <w:rFonts w:hint="eastAsia" w:ascii="微软雅黑" w:hAnsi="微软雅黑" w:cs="微软雅黑"/>
          <w:color w:val="000000"/>
          <w:lang w:eastAsia="zh-CN"/>
        </w:rPr>
        <w:t xml:space="preserve">承包人</w:t>
      </w:r>
      <w:r>
        <w:rPr>
          <w:rFonts w:hint="eastAsia" w:ascii="微软雅黑" w:hAnsi="微软雅黑" w:cs="微软雅黑"/>
          <w:color w:val="000000"/>
        </w:rPr>
        <w:t xml:space="preserve">提供当次相应金额的增值税普通发票）；</w:t>
      </w:r>
      <w:r>
        <w:rPr>
          <w:rFonts w:hint="eastAsia" w:ascii="微软雅黑" w:hAnsi="微软雅黑" w:cs="微软雅黑"/>
          <w:color w:val="000000"/>
        </w:rPr>
      </w:r>
      <w:r/>
    </w:p>
    <w:p>
      <w:pPr>
        <w:pStyle w:val="1070"/>
        <w:ind w:left="0"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w:t>
      </w:r>
      <w:r>
        <w:rPr>
          <w:rFonts w:hint="eastAsia" w:ascii="微软雅黑" w:hAnsi="微软雅黑" w:cs="微软雅黑"/>
          <w:color w:val="000000"/>
          <w:szCs w:val="21"/>
        </w:rPr>
        <w:t xml:space="preserve">3</w:t>
      </w:r>
      <w:r>
        <w:rPr>
          <w:rFonts w:ascii="微软雅黑" w:hAnsi="微软雅黑" w:cs="微软雅黑"/>
          <w:color w:val="000000"/>
          <w:szCs w:val="21"/>
        </w:rPr>
        <w:t xml:space="preserve">）</w:t>
      </w:r>
      <w:r>
        <w:rPr>
          <w:rFonts w:hint="eastAsia" w:ascii="微软雅黑" w:hAnsi="微软雅黑" w:cs="微软雅黑"/>
          <w:color w:val="000000"/>
        </w:rPr>
        <w:t xml:space="preserve">结算审计完成后，付至结算审定金额（同时扣除应承担审计费、水电费）的97%；</w:t>
      </w:r>
      <w:r>
        <w:rPr>
          <w:rFonts w:ascii="微软雅黑" w:hAnsi="微软雅黑" w:cs="微软雅黑"/>
          <w:color w:val="000000"/>
          <w:szCs w:val="21"/>
        </w:rPr>
      </w:r>
      <w:r/>
    </w:p>
    <w:p>
      <w:pPr>
        <w:pStyle w:val="1070"/>
        <w:ind w:left="420"/>
        <w:spacing w:line="440" w:lineRule="exact"/>
        <w:rPr>
          <w:rFonts w:ascii="微软雅黑" w:hAnsi="微软雅黑" w:cs="微软雅黑"/>
          <w:color w:val="000000"/>
          <w:szCs w:val="21"/>
        </w:rPr>
      </w:pPr>
      <w:r>
        <w:rPr>
          <w:rFonts w:ascii="微软雅黑" w:hAnsi="微软雅黑" w:cs="微软雅黑"/>
          <w:color w:val="000000"/>
          <w:szCs w:val="21"/>
        </w:rPr>
        <w:t xml:space="preserve">（4）</w:t>
      </w:r>
      <w:r>
        <w:rPr>
          <w:rFonts w:hint="eastAsia" w:ascii="微软雅黑" w:hAnsi="微软雅黑" w:cs="微软雅黑"/>
          <w:color w:val="000000"/>
        </w:rPr>
        <w:t xml:space="preserve">余款3%，质保期满后，由</w:t>
      </w:r>
      <w:r>
        <w:rPr>
          <w:rFonts w:hint="eastAsia" w:ascii="微软雅黑" w:hAnsi="微软雅黑" w:cs="微软雅黑"/>
          <w:color w:val="000000"/>
          <w:lang w:eastAsia="zh-CN"/>
        </w:rPr>
        <w:t xml:space="preserve">承包人</w:t>
      </w:r>
      <w:r>
        <w:rPr>
          <w:rFonts w:hint="eastAsia" w:ascii="微软雅黑" w:hAnsi="微软雅黑" w:cs="微软雅黑"/>
          <w:color w:val="000000"/>
        </w:rPr>
        <w:t xml:space="preserve">提出申请，</w:t>
      </w:r>
      <w:r>
        <w:rPr>
          <w:rFonts w:hint="eastAsia" w:ascii="微软雅黑" w:hAnsi="微软雅黑" w:cs="微软雅黑"/>
          <w:color w:val="000000"/>
          <w:lang w:eastAsia="zh-CN"/>
        </w:rPr>
        <w:t xml:space="preserve">发包人</w:t>
      </w:r>
      <w:r>
        <w:rPr>
          <w:rFonts w:hint="eastAsia" w:ascii="微软雅黑" w:hAnsi="微软雅黑" w:cs="微软雅黑"/>
          <w:color w:val="000000"/>
        </w:rPr>
        <w:t xml:space="preserve">付清（不计利息）</w:t>
      </w:r>
      <w:r>
        <w:rPr>
          <w:rFonts w:hint="eastAsia" w:ascii="微软雅黑" w:hAnsi="微软雅黑" w:cs="微软雅黑"/>
          <w:color w:val="000000"/>
          <w:szCs w:val="21"/>
        </w:rPr>
        <w:t xml:space="preserve">。</w:t>
      </w:r>
      <w:r>
        <w:rPr>
          <w:rFonts w:ascii="微软雅黑" w:hAnsi="微软雅黑" w:cs="微软雅黑"/>
          <w:color w:val="000000"/>
          <w:szCs w:val="21"/>
        </w:rPr>
      </w:r>
      <w:r/>
    </w:p>
    <w:p>
      <w:pPr>
        <w:pStyle w:val="1058"/>
        <w:ind w:firstLine="0"/>
        <w:jc w:val="both"/>
        <w:spacing w:line="240" w:lineRule="auto"/>
        <w:rPr>
          <w:rFonts w:hint="eastAsia" w:ascii="微软雅黑" w:hAnsi="微软雅黑" w:cs="微软雅黑"/>
          <w:b/>
          <w:bCs/>
          <w:highlight w:val="none"/>
        </w:rPr>
      </w:pPr>
      <w:r>
        <w:rPr>
          <w:rFonts w:hint="eastAsia" w:ascii="微软雅黑" w:hAnsi="微软雅黑" w:cs="微软雅黑"/>
          <w:b/>
          <w:bCs/>
        </w:rPr>
        <w:br w:type="page" w:clear="all"/>
      </w:r>
      <w:r>
        <w:rPr>
          <w:rFonts w:hint="eastAsia" w:ascii="微软雅黑" w:hAnsi="微软雅黑" w:cs="微软雅黑"/>
          <w:b/>
          <w:bCs/>
        </w:rPr>
        <w:t xml:space="preserve">附件一</w:t>
      </w:r>
      <w:r>
        <w:rPr>
          <w:rFonts w:hint="eastAsia" w:ascii="微软雅黑" w:hAnsi="微软雅黑" w:cs="微软雅黑"/>
          <w:b/>
          <w:bCs/>
          <w:highlight w:val="none"/>
        </w:rPr>
        <w:t xml:space="preserve">、医科大学直流屏-技术规范书</w:t>
      </w:r>
      <w:r>
        <w:rPr>
          <w:rFonts w:hint="eastAsia" w:ascii="微软雅黑" w:hAnsi="微软雅黑" w:cs="微软雅黑"/>
          <w:b/>
          <w:bCs/>
          <w:highlight w:val="none"/>
        </w:rPr>
      </w:r>
      <w:r/>
    </w:p>
    <w:p>
      <w:pPr>
        <w:pStyle w:val="1058"/>
        <w:ind w:firstLine="2860"/>
        <w:jc w:val="both"/>
        <w:spacing w:line="240" w:lineRule="auto"/>
        <w:rPr>
          <w:sz w:val="20"/>
          <w:szCs w:val="20"/>
        </w:rPr>
      </w:pPr>
      <w:r>
        <w:rPr>
          <w:rFonts w:hint="eastAsia" w:eastAsia="方正小标宋_GBK"/>
          <w:sz w:val="44"/>
          <w:szCs w:val="44"/>
        </w:rPr>
        <w:t xml:space="preserve">技术规范书</w:t>
      </w:r>
      <w:r>
        <w:rPr>
          <w:sz w:val="20"/>
          <w:szCs w:val="20"/>
        </w:rPr>
      </w:r>
      <w:r/>
    </w:p>
    <w:p>
      <w:pPr>
        <w:pStyle w:val="1044"/>
        <w:numPr>
          <w:ilvl w:val="0"/>
          <w:numId w:val="9"/>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总则</w:t>
      </w:r>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下列文件对于本文件的应用是必不可少的。凡是注日期的引用文件，仅注日期的版本适用于本文件。凡是不注日期的引用文件，其最新版本（包括所有的修改单）适用于本文件。</w:t>
      </w:r>
      <w:r>
        <w:rPr>
          <w:rFonts w:hint="eastAsia" w:ascii="微软雅黑" w:hAnsi="微软雅黑" w:cs="微软雅黑"/>
          <w:szCs w:val="21"/>
        </w:rPr>
      </w:r>
      <w:r/>
    </w:p>
    <w:p>
      <w:pPr>
        <w:pStyle w:val="1044"/>
        <w:numPr>
          <w:ilvl w:val="0"/>
          <w:numId w:val="9"/>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规范性引用文件</w:t>
      </w:r>
      <w:r>
        <w:rPr>
          <w:rFonts w:hint="eastAsia" w:ascii="微软雅黑" w:hAnsi="微软雅黑" w:cs="微软雅黑"/>
          <w:b/>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本标准引用了下列标准的有关条文，当这些标准修订后，使用本标准者应引用下列标准最新版本的有关条文。</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GB/17478-2004</w:t>
      </w:r>
      <w:r>
        <w:rPr>
          <w:rFonts w:hint="eastAsia" w:ascii="微软雅黑" w:hAnsi="微软雅黑" w:cs="微软雅黑"/>
          <w:szCs w:val="21"/>
        </w:rPr>
        <w:tab/>
      </w:r>
      <w:r>
        <w:rPr>
          <w:rFonts w:hint="eastAsia" w:ascii="微软雅黑" w:hAnsi="微软雅黑" w:cs="微软雅黑"/>
          <w:szCs w:val="24"/>
        </w:rPr>
        <w:fldChar w:fldCharType="begin"/>
      </w:r>
      <w:r>
        <w:rPr>
          <w:rFonts w:hint="eastAsia" w:ascii="微软雅黑" w:hAnsi="微软雅黑" w:cs="微软雅黑"/>
          <w:szCs w:val="24"/>
        </w:rPr>
        <w:instrText xml:space="preserve"> HYPERLINK "book://ssreader/e0?url=http://172.17.32.108/bzqw/0606\\GBT17478-2004\\0001.pdg&amp;requirereg=0&amp;canprint=1" \o "点击查看详细内容" </w:instrText>
      </w:r>
      <w:r>
        <w:rPr>
          <w:rFonts w:hint="eastAsia" w:ascii="微软雅黑" w:hAnsi="微软雅黑" w:cs="微软雅黑"/>
          <w:szCs w:val="24"/>
        </w:rPr>
        <w:fldChar w:fldCharType="separate"/>
      </w:r>
      <w:r>
        <w:rPr>
          <w:rFonts w:hint="eastAsia" w:ascii="微软雅黑" w:hAnsi="微软雅黑" w:cs="微软雅黑"/>
          <w:szCs w:val="21"/>
        </w:rPr>
        <w:t xml:space="preserve">低压直流电源设备的性能特性</w:t>
      </w:r>
      <w:r>
        <w:rPr>
          <w:rFonts w:hint="eastAsia" w:ascii="微软雅黑" w:hAnsi="微软雅黑" w:cs="微软雅黑"/>
          <w:szCs w:val="21"/>
        </w:rPr>
        <w:fldChar w:fldCharType="end"/>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JB/T8456-1996</w:t>
      </w:r>
      <w:r>
        <w:rPr>
          <w:rFonts w:hint="eastAsia" w:ascii="微软雅黑" w:hAnsi="微软雅黑" w:cs="微软雅黑"/>
          <w:szCs w:val="21"/>
        </w:rPr>
        <w:tab/>
      </w:r>
      <w:r>
        <w:rPr>
          <w:rFonts w:hint="eastAsia" w:ascii="微软雅黑" w:hAnsi="微软雅黑" w:cs="微软雅黑"/>
          <w:szCs w:val="21"/>
        </w:rPr>
        <w:t xml:space="preserve">  低压直流开关设备     </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电力系统直流柜通用技术条件及安全要求</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电控设备用低压直流电源</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NDGJ8-89          火力发电厂、变电所二次接线设计技术规程</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DL/T459－2000</w:t>
      </w:r>
      <w:r>
        <w:rPr>
          <w:rFonts w:hint="eastAsia" w:ascii="微软雅黑" w:hAnsi="微软雅黑" w:cs="微软雅黑"/>
          <w:szCs w:val="21"/>
        </w:rPr>
        <w:tab/>
      </w:r>
      <w:r>
        <w:rPr>
          <w:rFonts w:hint="eastAsia" w:ascii="微软雅黑" w:hAnsi="微软雅黑" w:cs="微软雅黑"/>
          <w:szCs w:val="21"/>
        </w:rPr>
        <w:t xml:space="preserve">  电力系统直流电源柜订货技术条件</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DL/T5044-2004</w:t>
      </w:r>
      <w:r>
        <w:rPr>
          <w:rFonts w:hint="eastAsia" w:ascii="微软雅黑" w:hAnsi="微软雅黑" w:cs="微软雅黑"/>
          <w:szCs w:val="21"/>
        </w:rPr>
        <w:tab/>
      </w:r>
      <w:r>
        <w:rPr>
          <w:rFonts w:hint="eastAsia" w:ascii="微软雅黑" w:hAnsi="微软雅黑" w:cs="微软雅黑"/>
          <w:szCs w:val="21"/>
        </w:rPr>
        <w:t xml:space="preserve">  电力工程直流系统设计技术规程</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SDJ 9－1999</w:t>
      </w:r>
      <w:r>
        <w:rPr>
          <w:rFonts w:hint="eastAsia" w:ascii="微软雅黑" w:hAnsi="微软雅黑" w:cs="微软雅黑"/>
          <w:szCs w:val="21"/>
        </w:rPr>
        <w:tab/>
      </w:r>
      <w:r>
        <w:rPr>
          <w:rFonts w:hint="eastAsia" w:ascii="微软雅黑" w:hAnsi="微软雅黑" w:cs="微软雅黑"/>
          <w:szCs w:val="21"/>
        </w:rPr>
        <w:tab/>
      </w:r>
      <w:r>
        <w:rPr>
          <w:rFonts w:hint="eastAsia" w:ascii="微软雅黑" w:hAnsi="微软雅黑" w:cs="微软雅黑"/>
          <w:szCs w:val="21"/>
        </w:rPr>
        <w:t xml:space="preserve">  电测量及电能计量装置设计技术规程</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DL/T781-2001      电力用高频开关整流模块</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DL/T724-2000      电力系统用蓄电池直流电源装置运行与维护规程</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GB/T 17626.2－1998 电磁兼容试验和测量技术 静电放电抗扰度试验</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GB/T 17626.12－1998 电磁兼容试验和测量技术 振荡波抗扰度试验</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国家电网公司电力生产设备评估管理办法（生产输电[2003]95号）</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fldChar w:fldCharType="begin"/>
      </w:r>
      <w:r>
        <w:rPr>
          <w:rFonts w:hint="eastAsia" w:ascii="微软雅黑" w:hAnsi="微软雅黑" w:cs="微软雅黑"/>
          <w:szCs w:val="21"/>
        </w:rPr>
        <w:instrText xml:space="preserve"> MERGEFIELD 文件标题 </w:instrText>
      </w:r>
      <w:r>
        <w:rPr>
          <w:rFonts w:hint="eastAsia" w:ascii="微软雅黑" w:hAnsi="微软雅黑" w:cs="微软雅黑"/>
          <w:szCs w:val="21"/>
        </w:rPr>
        <w:fldChar w:fldCharType="separate"/>
      </w:r>
      <w:r>
        <w:rPr>
          <w:rFonts w:hint="eastAsia" w:ascii="微软雅黑" w:hAnsi="微软雅黑" w:cs="微软雅黑"/>
          <w:szCs w:val="21"/>
        </w:rPr>
        <w:t xml:space="preserve">国家电网公司关于加强电力生产技术监督工作意见</w:t>
      </w:r>
      <w:r>
        <w:rPr>
          <w:rFonts w:hint="eastAsia" w:ascii="微软雅黑" w:hAnsi="微软雅黑" w:cs="微软雅黑"/>
          <w:szCs w:val="21"/>
        </w:rPr>
        <w:fldChar w:fldCharType="end"/>
      </w:r>
      <w:r>
        <w:rPr>
          <w:rFonts w:hint="eastAsia" w:ascii="微软雅黑" w:hAnsi="微软雅黑" w:cs="微软雅黑"/>
          <w:szCs w:val="21"/>
        </w:rPr>
        <w:t xml:space="preserve">（生产输电[2003]29号）</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国家电网公司预防直流电源系统事故措施（国家电网生[2004]641号）</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国家电网公司直流电源系统技术标准和直流电源系统运行规范</w:t>
      </w:r>
      <w:r>
        <w:rPr>
          <w:rFonts w:hint="eastAsia" w:ascii="微软雅黑" w:hAnsi="微软雅黑" w:cs="微软雅黑"/>
          <w:szCs w:val="21"/>
        </w:rPr>
      </w:r>
      <w:r/>
    </w:p>
    <w:p>
      <w:pPr>
        <w:pStyle w:val="1044"/>
        <w:numPr>
          <w:ilvl w:val="0"/>
          <w:numId w:val="9"/>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技术性能指标要求</w:t>
      </w:r>
      <w:r>
        <w:rPr>
          <w:rFonts w:hint="eastAsia" w:ascii="微软雅黑" w:hAnsi="微软雅黑" w:cs="微软雅黑"/>
          <w:b/>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3.1　主要技术性能。</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直流电源系统接线：单母线接线；</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蓄电池组数：每组   12V/只*9只</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蓄电池型式：阀控式密封铅酸蓄电池；</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高频开关电源：1套。</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具备防雷及电源保护、高度绝缘防护等功能。</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直流电源系统开关应选用优质高分断直流断路器（额定短路分断能力≥35kA），并考虑上下级配合，应满足3级～4级级差配合，各断路器应配备跳闸报警接点。</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蓄电池组等重要位置的熔断器、开关应装有辅助接点，并引自端子排。</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直流电源系统应配备：总监控单元、220V高频开关电源模块（220V直流电源系统）、48V通信电源模块、雷击浪涌吸收器、仪表、电压电流采集装置、绝缘检测装置、蓄电池管理单元等。</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馈出开关应有信号灯指示通断状态。 </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直流主母线及接头，应能满足长期通过电流的要求，母线应选用阻燃绝缘铜母线。</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汇流排和主电路导线的相序和颜色应符合IEC标准。</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高频模块并联工作时输出电流不均衡度&lt;±5％。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直流电源系统设降压装置。</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设备应满足IEC 610004关于电磁兼容、抗干扰的要求。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3.2　110V高频开关电源模块</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应具有监控功能，且不依赖总监控单元独立工作，应配备液晶汉显人机界面。应支持与总监控单元通信，接收并执行监控装置的指令。</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应具有短路保护功能，短路排除后自动恢复输出。</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应采用PWM调制制式，模块工作频率：20kHz～300kHz。</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应具有以下保护报警功能：过温保护、过压保护、过流保护、欠压报警、过压报警、交流欠压、交流过压等。</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3.3　蓄电池</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当环境温度在10℃～+45℃条件下时，蓄电池性能指标应满足正常使用要求。</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蓄电池在环境温度20℃～25℃时的浮充运行寿命应不低于10年。</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蓄电池组按规定的试验方法，10h率容量应在第一次充放电循环时不低于0.95C10，五次循环应达到C10。</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供方应提供蓄电池接线板及抗振型安装支架。</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蓄电池间接线板、终端接头应选择导电性能优良的材料，并具有防腐蚀措施。蓄电池槽、盖、安全阀、极柱封口剂等材料应具有阻燃性。</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蓄电池必须采用全密封防泄漏结构，外壳无异常变形、裂纹及污迹，上盖及端子无损伤，正常工作时无酸雾溢出。</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蓄电池极性正确，正负极性及端子应有明显标志。极板厚度应与使用寿命相适应。</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同一组蓄电池中任意两个电池的开路电压差，对于2V单体电池不应超过30mV，对于12V单体电池不应超过60mV。</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蓄电池使用期间安全阀应能自动开启闭合，闭阀压力应在1kPa～10kPa范围内，开阀压力应在10kPa～49kPa范围内。</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两个蓄电池之间连接条的压降，3I10时不超过8mV。</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电池组间互连接线应绝缘，终端电池应提供外接铜芯电缆至直流柜的接线板。</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蓄电池在大电流放电后，极柱不应熔断，其外观不得出现异常。</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蓄电池封置90天后，其荷电保持能力不低于85％。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蓄电池的密封反应效率不低于95％。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蓄电池需具有较强的耐过充能力和过充寿命。以0.3I10电流连续充电16h后，外观应无明显变形及渗液。蓄电池自放电率每月不大于4％。</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蓄电池在30℃和65℃时封口剂应无裂纹和溢流。</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制造厂提供的蓄电池内阻值，应与实际测试的蓄电池内阻值一致。</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蓄电池组应考虑装设蓄电池管理单元的位置。</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1组蓄电池应配备1套充电装置。</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　48V通信电源模块</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应具有监控功能，且不依赖总监控单元独立工作，应配备液晶汉显人机界面。正常工作时，应与总监控单元通信，接收和执行监控装置的指令。</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应具有短路保护功能，短路排除后自动恢复输出。</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应采用PWM调制制式，模块工作频率20kHz～300kHz。</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应具有以下保护报警功能：过温保护、过压保护、过流保护、欠压报警、过压报警等。</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48V应采用正极接地、负极加防雷模块方式，防雷等级不低于D级。</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3.5　降压装置</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直流电源系统应配置斩波调压与硅链调压互为备用的降压装置，正常运行时斩波调压器工作，硅链调压器热备用，斩波调压器容量必须满足通过最大负荷电流，并能承受要求的冲击电流，在斩波调压器故障后自动无间断切换到硅链调压器工作，并且硅链调压器应带有自动/手动切换调节功能。斩波调压器应具备可靠的防短路保护功能，噪声应不大于55dB，硅链调压器应具备可靠的防开路保护功能。斩波调压器、硅链调压器应有独立的运行状态遥信接点信号输出。</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3.6　总监控单元</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总监控单元是高频开关电源及其成套装置的监控、测量、信号和管理系统的核心部分。该单元能综合分析各种数据和信息，对整个系统实施控制和管理。</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该单元应能适应直流电源系统各种运行方式，具备人机对话功能，应能与成套装置中各子系统通信，并可与站内监控系统通信，通信接口为RS485、RS232或以太网。</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该单元应能显示充电机输出电压、充电机输出电流、控制母线电压、电池电压、电池电流、两路三相交流输入电压、各模块输出电压电流、各种报警信号、各种历史故障信息、单体电池电压、电池组温度等信息。</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该单元应能对以下故障进行报警：交流输入过压、欠压、缺相，直流合闸母线过压、欠压，控制母线过压、欠压，电池电压欠压，模块故障，电池单体过压、欠压等。</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该单元应具备蓄电池浮充、均充自动转换功能。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　蓄电池管理单元</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蓄电池管理单元应具备的主要功能：监测蓄电池单体运行工况，对蓄电池充、放电进行动态管理，并应具备对蓄电池温度进行补偿的功能。本单元可独立设置，也可分别由总监控单元和检测模块来完成。</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3.8直流电源系统绝缘检测装置</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直流电源系统绝缘检测装置应具备的主要功能：在线监测直流电源系统对地绝缘状况（包括直流母线和各个馈线回路绝缘状况），并自动检出故障回路，能监测母线正对地、母线负对地电压，能检测出每个支路的正对地电阻和负对地电阻。</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绝缘检测装置不得对直流电源系统注入交流信号。</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绝缘检测装置应与成套装置中的总监控单元或变电站监控系统通信。</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被测母线及支路正极、负极对地绝缘电阻低于10kΩ～100kΩ（可调）时应发出报警信号，电阻检测精度应高于2％。</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3.9　仪表</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直流电源系统应配备控母电压、蓄电池电压、合母电流、蓄电池电流等表计，表计应采用数字表，精度0.5级。</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numPr>
          <w:ilvl w:val="0"/>
          <w:numId w:val="9"/>
        </w:numPr>
        <w:keepLines/>
        <w:keepNext/>
        <w:spacing w:line="440" w:lineRule="exact"/>
        <w:rPr>
          <w:rFonts w:hint="eastAsia" w:ascii="微软雅黑" w:hAnsi="微软雅黑" w:cs="微软雅黑"/>
          <w:b/>
          <w:color w:val="000000"/>
          <w:szCs w:val="21"/>
        </w:rPr>
        <w:outlineLvl w:val="0"/>
      </w:pPr>
      <w:r>
        <w:rPr>
          <w:rFonts w:hint="eastAsia" w:ascii="微软雅黑" w:hAnsi="微软雅黑" w:cs="微软雅黑"/>
          <w:b/>
          <w:color w:val="000000"/>
          <w:szCs w:val="21"/>
        </w:rPr>
        <w:t xml:space="preserve">技术参数要求</w:t>
      </w:r>
      <w:r>
        <w:rPr>
          <w:rFonts w:hint="eastAsia" w:ascii="微软雅黑" w:hAnsi="微软雅黑" w:cs="微软雅黑"/>
          <w:b/>
          <w:color w:val="000000"/>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4.1　主要技术参数。</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交流输入额定电压：三相380V（三相四线制）；</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交流电源频率：50Hz；</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输出额定电压： 220V DC（220V直流电源系统）；</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稳流精度：≤±1％；</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稳压精度：≤±0.5％；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纹波系数：≤±0.5％；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效率：≥90％；</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2"/>
      </w:pPr>
      <w:r>
        <w:rPr>
          <w:rFonts w:hint="eastAsia" w:ascii="微软雅黑" w:hAnsi="微软雅黑" w:cs="微软雅黑"/>
          <w:szCs w:val="21"/>
        </w:rPr>
        <w:t xml:space="preserve">噪声：&lt;55dB（距离装置1m处）。</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bookmarkStart w:id="134" w:name="_Toc248315469"/>
      <w:r/>
      <w:bookmarkStart w:id="135" w:name="_Toc247776600"/>
      <w:r>
        <w:rPr>
          <w:rFonts w:hint="eastAsia" w:ascii="微软雅黑" w:hAnsi="微软雅黑" w:cs="微软雅黑"/>
          <w:szCs w:val="21"/>
        </w:rPr>
        <w:t xml:space="preserve">4.2　110V高频开关电源模块</w:t>
      </w:r>
      <w:bookmarkEnd w:id="134"/>
      <w:r/>
      <w:bookmarkEnd w:id="135"/>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交流输入额定电压：三相380V；</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额定输出电压： 110V DC（110V直流电源系统）；</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额定输出电流： 10A或5A（110V直流电源系统）；</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功率因数：≥0.90；</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稳流精度：≤±1％；</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稳压精度：≤±0.5％；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纹波系数：≤0.5％；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效率：≥90％；</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软启动时间：3s～8s；</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模块冷却方式为自然冷却。</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bookmarkStart w:id="136" w:name="_Toc248315470"/>
      <w:r/>
      <w:bookmarkStart w:id="137" w:name="_Toc247776601"/>
      <w:r>
        <w:rPr>
          <w:rFonts w:hint="eastAsia" w:ascii="微软雅黑" w:hAnsi="微软雅黑" w:cs="微软雅黑"/>
          <w:szCs w:val="21"/>
        </w:rPr>
        <w:t xml:space="preserve">4.3　蓄电池</w:t>
      </w:r>
      <w:bookmarkEnd w:id="136"/>
      <w:r/>
      <w:bookmarkEnd w:id="137"/>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12V单体电池。</w:t>
      </w:r>
      <w:r>
        <w:rPr>
          <w:rFonts w:hint="eastAsia" w:ascii="微软雅黑" w:hAnsi="微软雅黑" w:cs="微软雅黑"/>
          <w:szCs w:val="21"/>
        </w:rPr>
      </w:r>
      <w:r/>
    </w:p>
    <w:p>
      <w:pPr>
        <w:pStyle w:val="1044"/>
        <w:ind w:firstLine="82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单体电池额定电压：12V；</w:t>
      </w:r>
      <w:r>
        <w:rPr>
          <w:rFonts w:hint="eastAsia" w:ascii="微软雅黑" w:hAnsi="微软雅黑" w:cs="微软雅黑"/>
          <w:szCs w:val="21"/>
        </w:rPr>
      </w:r>
      <w:r/>
    </w:p>
    <w:p>
      <w:pPr>
        <w:pStyle w:val="1044"/>
        <w:ind w:firstLine="82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单体电池浮充电电压：13.38V～13.42V；</w:t>
      </w:r>
      <w:r>
        <w:rPr>
          <w:rFonts w:hint="eastAsia" w:ascii="微软雅黑" w:hAnsi="微软雅黑" w:cs="微软雅黑"/>
          <w:szCs w:val="21"/>
        </w:rPr>
      </w:r>
      <w:r/>
    </w:p>
    <w:p>
      <w:pPr>
        <w:pStyle w:val="1044"/>
        <w:ind w:firstLine="82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单体电池均衡充电电压：13.80V～14.40V；</w:t>
      </w:r>
      <w:r>
        <w:rPr>
          <w:rFonts w:hint="eastAsia" w:ascii="微软雅黑" w:hAnsi="微软雅黑" w:cs="微软雅黑"/>
          <w:szCs w:val="21"/>
        </w:rPr>
      </w:r>
      <w:r/>
    </w:p>
    <w:p>
      <w:pPr>
        <w:pStyle w:val="1044"/>
        <w:ind w:firstLine="82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单体电池放电终止电压：10.8V。</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bookmarkStart w:id="138" w:name="_Toc248315471"/>
      <w:r/>
      <w:bookmarkStart w:id="139" w:name="_Toc247776602"/>
      <w:r>
        <w:rPr>
          <w:rFonts w:hint="eastAsia" w:ascii="微软雅黑" w:hAnsi="微软雅黑" w:cs="微软雅黑"/>
          <w:szCs w:val="21"/>
        </w:rPr>
        <w:t xml:space="preserve">4.4　48V通信电源模块</w:t>
      </w:r>
      <w:bookmarkEnd w:id="138"/>
      <w:r/>
      <w:bookmarkEnd w:id="139"/>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额定输入电压： 110V DC（110V直流电源系统）；</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效率：≥90％；</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稳压精度：≤±1％；</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输出负载动态响应：&lt;5％；</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温度系数：≤0.02％/℃；</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浪涌电流：&lt;150％；</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输出杂音电压：≤2mV；</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设备的平均无故障时间（MTBF）：≥30 000h。</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numPr>
          <w:ilvl w:val="0"/>
          <w:numId w:val="9"/>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试验要求</w:t>
      </w:r>
      <w:r>
        <w:rPr>
          <w:rFonts w:hint="eastAsia" w:ascii="微软雅黑" w:hAnsi="微软雅黑" w:cs="微软雅黑"/>
          <w:b/>
          <w:szCs w:val="21"/>
        </w:rPr>
      </w:r>
      <w:r/>
    </w:p>
    <w:p>
      <w:pPr>
        <w:pStyle w:val="1044"/>
        <w:ind w:firstLine="420"/>
        <w:jc w:val="left"/>
        <w:spacing w:line="440" w:lineRule="exact"/>
        <w:widowControl/>
        <w:rPr>
          <w:rFonts w:hint="eastAsia" w:ascii="微软雅黑" w:hAnsi="微软雅黑" w:cs="微软雅黑"/>
          <w:szCs w:val="21"/>
        </w:rPr>
        <w:outlineLvl w:val="1"/>
      </w:pPr>
      <w:r>
        <w:rPr>
          <w:rFonts w:hint="eastAsia" w:ascii="微软雅黑" w:hAnsi="微软雅黑" w:cs="微软雅黑"/>
          <w:szCs w:val="21"/>
        </w:rPr>
        <w:t xml:space="preserve">根据国家标准（GB）和最新版的IEC标准进行试验。试验中，要遵循并执行下列附加要求和IEC的补充说明。</w:t>
      </w:r>
      <w:r>
        <w:rPr>
          <w:rFonts w:hint="eastAsia" w:ascii="微软雅黑" w:hAnsi="微软雅黑" w:cs="微软雅黑"/>
          <w:szCs w:val="21"/>
        </w:rPr>
      </w:r>
      <w:r/>
    </w:p>
    <w:p>
      <w:pPr>
        <w:pStyle w:val="1044"/>
        <w:ind w:firstLine="401"/>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5.1  直流屏及充电装置应在工厂进行全部接线检查和调整，并且进行常规检查、运行及绝缘检查，以确保设备功能的完好性、适应性和满足本规范书及相关标准、规范的要求。</w:t>
      </w:r>
      <w:r>
        <w:rPr>
          <w:rFonts w:hint="eastAsia" w:ascii="微软雅黑" w:hAnsi="微软雅黑" w:cs="微软雅黑"/>
          <w:szCs w:val="21"/>
        </w:rPr>
      </w:r>
      <w:r/>
    </w:p>
    <w:p>
      <w:pPr>
        <w:pStyle w:val="1044"/>
        <w:ind w:firstLine="401"/>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5.2  直流屏及充电装置安装完毕后，以检验设备在实际运行环境下，能否满足运行要求。如果发生系统或某一部件不能满足规定要求，</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应根据双方协议，负责维修、更换损坏部件或重新制作。</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1"/>
      </w:pPr>
      <w:r>
        <w:rPr>
          <w:rFonts w:hint="eastAsia" w:ascii="微软雅黑" w:hAnsi="微软雅黑" w:cs="微软雅黑"/>
          <w:szCs w:val="21"/>
        </w:rPr>
        <w:t xml:space="preserve">5.3 现场试验</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outlineLvl w:val="1"/>
      </w:pPr>
      <w:r>
        <w:rPr>
          <w:rFonts w:hint="eastAsia" w:ascii="微软雅黑" w:hAnsi="微软雅黑" w:cs="微软雅黑"/>
          <w:szCs w:val="21"/>
        </w:rPr>
        <w:t xml:space="preserve">按照按照电力设备交接和预防性试验规程”相关项目和标准执行。</w:t>
      </w:r>
      <w:r>
        <w:rPr>
          <w:rFonts w:hint="eastAsia" w:ascii="微软雅黑" w:hAnsi="微软雅黑" w:cs="微软雅黑"/>
          <w:szCs w:val="21"/>
        </w:rPr>
      </w:r>
      <w:r/>
    </w:p>
    <w:p>
      <w:pPr>
        <w:pStyle w:val="1044"/>
        <w:spacing w:line="440" w:lineRule="exact"/>
        <w:rPr>
          <w:rFonts w:hint="eastAsia" w:ascii="微软雅黑" w:hAnsi="微软雅黑" w:cs="微软雅黑"/>
          <w:b/>
          <w:bCs/>
          <w:szCs w:val="21"/>
        </w:rPr>
      </w:pPr>
      <w:r>
        <w:rPr>
          <w:rFonts w:hint="eastAsia" w:ascii="微软雅黑" w:hAnsi="微软雅黑" w:cs="微软雅黑"/>
          <w:b/>
          <w:bCs/>
          <w:szCs w:val="21"/>
        </w:rPr>
        <w:t xml:space="preserve">6.包装与运输要求</w:t>
      </w:r>
      <w:r>
        <w:rPr>
          <w:rFonts w:hint="eastAsia" w:ascii="微软雅黑" w:hAnsi="微软雅黑" w:cs="微软雅黑"/>
          <w:b/>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(1)中标方应对设备的包装和运输到合同交货地负责。</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(2)中标方应以任何运输过程中都能保护设备不受到损坏的方式而设计和准备包装。且外包装应明确标明（但不限于）中标方名称、收货单位、项目名称。</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(3)运输中应注意装、卸，不能损坏包装或使产品变形、损坏。</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(4)包装应有足够的强度能在短途搬运、设备储存和装车、装船中承受较大冲击而不会散包。</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(5)在设备交付时应有包装清单。</w:t>
      </w:r>
      <w:r>
        <w:rPr>
          <w:rFonts w:hint="eastAsia" w:ascii="微软雅黑" w:hAnsi="微软雅黑" w:cs="微软雅黑"/>
          <w:bCs/>
          <w:szCs w:val="21"/>
        </w:rPr>
      </w:r>
      <w:r/>
    </w:p>
    <w:p>
      <w:pPr>
        <w:pStyle w:val="1044"/>
        <w:spacing w:line="440" w:lineRule="exact"/>
        <w:rPr>
          <w:rFonts w:hint="eastAsia" w:ascii="微软雅黑" w:hAnsi="微软雅黑" w:cs="微软雅黑"/>
          <w:b/>
          <w:bCs/>
          <w:szCs w:val="21"/>
        </w:rPr>
      </w:pPr>
      <w:r>
        <w:rPr>
          <w:rFonts w:hint="eastAsia" w:ascii="微软雅黑" w:hAnsi="微软雅黑" w:cs="微软雅黑"/>
          <w:b/>
          <w:bCs/>
          <w:szCs w:val="21"/>
        </w:rPr>
        <w:t xml:space="preserve">7.质量验收要求</w:t>
      </w:r>
      <w:r>
        <w:rPr>
          <w:rFonts w:hint="eastAsia" w:ascii="微软雅黑" w:hAnsi="微软雅黑" w:cs="微软雅黑"/>
          <w:b/>
          <w:bCs/>
          <w:szCs w:val="21"/>
        </w:rPr>
      </w:r>
      <w:r/>
    </w:p>
    <w:p>
      <w:pPr>
        <w:pStyle w:val="1044"/>
        <w:ind w:firstLine="420"/>
        <w:keepLines w:val="0"/>
        <w:keepNext w:val="0"/>
        <w:pageBreakBefore w:val="0"/>
        <w:spacing w:line="440" w:lineRule="exact"/>
        <w:rPr>
          <w:rFonts w:hint="eastAsia" w:ascii="微软雅黑" w:hAnsi="微软雅黑" w:cs="微软雅黑"/>
          <w:bCs/>
          <w:szCs w:val="21"/>
        </w:rPr>
      </w:pPr>
      <w:r>
        <w:rPr>
          <w:rFonts w:hint="eastAsia" w:ascii="微软雅黑" w:hAnsi="微软雅黑" w:cs="微软雅黑"/>
          <w:bCs/>
          <w:szCs w:val="21"/>
        </w:rPr>
        <w:t xml:space="preserve">(1)采购人有权对正在制造或制造完毕的产品选择一定数量进行抽查测试，检测产品质量或验证供应商试验的真实性，投标人应配合采购人做好抽查测试。</w:t>
      </w:r>
      <w:r>
        <w:rPr>
          <w:rFonts w:hint="eastAsia" w:ascii="微软雅黑" w:hAnsi="微软雅黑" w:cs="微软雅黑"/>
          <w:bCs/>
          <w:szCs w:val="21"/>
        </w:rPr>
      </w:r>
      <w:r/>
    </w:p>
    <w:p>
      <w:pPr>
        <w:pStyle w:val="1044"/>
        <w:ind w:firstLine="420"/>
        <w:keepLines w:val="0"/>
        <w:keepNext w:val="0"/>
        <w:pageBreakBefore w:val="0"/>
        <w:spacing w:line="440" w:lineRule="exact"/>
        <w:rPr>
          <w:rFonts w:hint="eastAsia" w:ascii="微软雅黑" w:hAnsi="微软雅黑" w:cs="微软雅黑"/>
          <w:bCs/>
          <w:szCs w:val="21"/>
        </w:rPr>
      </w:pPr>
      <w:r>
        <w:rPr>
          <w:rFonts w:hint="eastAsia" w:ascii="微软雅黑" w:hAnsi="微软雅黑" w:cs="微软雅黑"/>
          <w:bCs/>
          <w:szCs w:val="21"/>
        </w:rPr>
        <w:t xml:space="preserve">(2)若有合同物资经检验和抽检不符合本技术规范的要求，采购人可以拒收，相关损失由供应商自行承担。</w:t>
      </w:r>
      <w:r>
        <w:rPr>
          <w:rFonts w:hint="eastAsia" w:ascii="微软雅黑" w:hAnsi="微软雅黑" w:cs="微软雅黑"/>
          <w:bCs/>
          <w:szCs w:val="21"/>
        </w:rPr>
      </w:r>
      <w:r/>
    </w:p>
    <w:p>
      <w:pPr>
        <w:pStyle w:val="1044"/>
        <w:ind w:firstLine="420"/>
        <w:keepLines w:val="0"/>
        <w:keepNext w:val="0"/>
        <w:pageBreakBefore w:val="0"/>
        <w:spacing w:line="440" w:lineRule="exact"/>
        <w:rPr>
          <w:rFonts w:hint="eastAsia" w:ascii="微软雅黑" w:hAnsi="微软雅黑" w:cs="微软雅黑"/>
          <w:bCs/>
          <w:szCs w:val="21"/>
        </w:rPr>
      </w:pPr>
      <w:r>
        <w:rPr>
          <w:rFonts w:hint="eastAsia" w:ascii="微软雅黑" w:hAnsi="微软雅黑" w:cs="微软雅黑"/>
          <w:bCs/>
          <w:szCs w:val="21"/>
        </w:rPr>
        <w:t xml:space="preserve">(3)</w:t>
      </w:r>
      <w:r>
        <w:rPr>
          <w:rFonts w:hint="eastAsia" w:ascii="微软雅黑" w:hAnsi="微软雅黑" w:cs="微软雅黑"/>
          <w:bCs/>
          <w:szCs w:val="21"/>
          <w:lang w:val="en-US" w:eastAsia="zh-CN"/>
        </w:rPr>
        <w:t xml:space="preserve">采购人与中标人</w:t>
      </w:r>
      <w:r>
        <w:rPr>
          <w:rFonts w:hint="eastAsia" w:ascii="微软雅黑" w:hAnsi="微软雅黑" w:cs="微软雅黑"/>
          <w:bCs/>
          <w:szCs w:val="21"/>
        </w:rPr>
        <w:t xml:space="preserve">双方联合进行到样后的包装外观检查。</w:t>
      </w:r>
      <w:r>
        <w:rPr>
          <w:rFonts w:hint="eastAsia" w:ascii="微软雅黑" w:hAnsi="微软雅黑" w:cs="微软雅黑"/>
          <w:bCs/>
          <w:szCs w:val="21"/>
        </w:rPr>
      </w:r>
      <w:r/>
    </w:p>
    <w:p>
      <w:pPr>
        <w:pStyle w:val="1044"/>
        <w:ind w:firstLine="420"/>
        <w:jc w:val="left"/>
        <w:keepLines w:val="0"/>
        <w:keepNext w:val="0"/>
        <w:pageBreakBefore w:val="0"/>
        <w:spacing w:line="440" w:lineRule="exact"/>
        <w:widowControl/>
        <w:rPr>
          <w:rFonts w:hint="eastAsia" w:ascii="微软雅黑" w:hAnsi="微软雅黑" w:cs="微软雅黑"/>
          <w:bCs/>
          <w:szCs w:val="21"/>
        </w:rPr>
      </w:pPr>
      <w:r>
        <w:rPr>
          <w:rFonts w:hint="eastAsia" w:ascii="微软雅黑" w:hAnsi="微软雅黑" w:cs="微软雅黑"/>
          <w:bCs/>
          <w:szCs w:val="21"/>
        </w:rPr>
        <w:t xml:space="preserve">(4)</w:t>
      </w:r>
      <w:r>
        <w:rPr>
          <w:rFonts w:hint="eastAsia" w:ascii="微软雅黑" w:hAnsi="微软雅黑" w:cs="微软雅黑"/>
          <w:bCs/>
          <w:szCs w:val="21"/>
          <w:lang w:val="en-US" w:eastAsia="zh-CN"/>
        </w:rPr>
        <w:t xml:space="preserve">采购人与中标人</w:t>
      </w:r>
      <w:r>
        <w:rPr>
          <w:rFonts w:hint="eastAsia" w:ascii="微软雅黑" w:hAnsi="微软雅黑" w:cs="微软雅黑"/>
          <w:bCs/>
          <w:szCs w:val="21"/>
        </w:rPr>
        <w:t xml:space="preserve">联合进行产品结构尺寸检查验收。</w:t>
      </w:r>
      <w:r>
        <w:rPr>
          <w:rFonts w:hint="eastAsia" w:ascii="微软雅黑" w:hAnsi="微软雅黑" w:cs="微软雅黑"/>
          <w:bCs/>
          <w:szCs w:val="21"/>
        </w:rPr>
      </w:r>
      <w:r/>
    </w:p>
    <w:p>
      <w:pPr>
        <w:pStyle w:val="1058"/>
        <w:ind w:firstLine="0"/>
        <w:spacing w:line="440" w:lineRule="exact"/>
        <w:rPr>
          <w:rFonts w:hint="eastAsia" w:ascii="微软雅黑" w:hAnsi="微软雅黑" w:eastAsia="微软雅黑" w:cs="微软雅黑"/>
          <w:bCs/>
        </w:rPr>
      </w:pPr>
      <w:r>
        <w:rPr>
          <w:rFonts w:hint="eastAsia" w:ascii="微软雅黑" w:hAnsi="微软雅黑" w:cs="微软雅黑"/>
          <w:bCs/>
          <w:szCs w:val="21"/>
        </w:rPr>
        <w:br w:type="page" w:clear="all"/>
      </w:r>
      <w:r>
        <w:rPr>
          <w:rFonts w:hint="eastAsia" w:ascii="微软雅黑" w:hAnsi="微软雅黑" w:eastAsia="微软雅黑" w:cs="微软雅黑"/>
          <w:bCs/>
        </w:rPr>
        <w:t xml:space="preserve">附件</w:t>
      </w:r>
      <w:r>
        <w:rPr>
          <w:rFonts w:hint="eastAsia" w:ascii="微软雅黑" w:hAnsi="微软雅黑" w:eastAsia="微软雅黑" w:cs="微软雅黑"/>
          <w:bCs/>
          <w:lang w:val="en-US" w:eastAsia="zh-CN"/>
        </w:rPr>
        <w:t xml:space="preserve">二</w:t>
      </w:r>
      <w:r>
        <w:rPr>
          <w:rFonts w:hint="eastAsia" w:ascii="微软雅黑" w:hAnsi="微软雅黑" w:eastAsia="微软雅黑" w:cs="微软雅黑"/>
          <w:bCs/>
        </w:rPr>
        <w:t xml:space="preserve">、医科大学变压器-技术规范书</w:t>
      </w:r>
      <w:r>
        <w:rPr>
          <w:rFonts w:hint="eastAsia" w:ascii="微软雅黑" w:hAnsi="微软雅黑" w:eastAsia="微软雅黑" w:cs="微软雅黑"/>
          <w:bCs/>
        </w:rPr>
      </w:r>
      <w:r/>
    </w:p>
    <w:p>
      <w:pPr>
        <w:pStyle w:val="1058"/>
        <w:ind w:firstLine="0"/>
        <w:jc w:val="center"/>
        <w:spacing w:line="440" w:lineRule="exact"/>
        <w:rPr>
          <w:rFonts w:hint="eastAsia" w:eastAsia="方正小标宋_GBK"/>
          <w:sz w:val="44"/>
          <w:szCs w:val="44"/>
        </w:rPr>
      </w:pPr>
      <w:r>
        <w:rPr>
          <w:rFonts w:hint="eastAsia" w:eastAsia="方正小标宋_GBK"/>
          <w:sz w:val="44"/>
          <w:szCs w:val="44"/>
        </w:rPr>
      </w:r>
      <w:r/>
    </w:p>
    <w:p>
      <w:pPr>
        <w:pStyle w:val="1058"/>
        <w:ind w:firstLine="0"/>
        <w:jc w:val="center"/>
        <w:spacing w:line="440" w:lineRule="exact"/>
        <w:rPr>
          <w:rFonts w:hint="eastAsia" w:ascii="微软雅黑" w:hAnsi="微软雅黑" w:eastAsia="微软雅黑" w:cs="微软雅黑"/>
          <w:bCs/>
        </w:rPr>
      </w:pPr>
      <w:r>
        <w:rPr>
          <w:rFonts w:hint="eastAsia" w:eastAsia="方正小标宋_GBK"/>
          <w:sz w:val="44"/>
          <w:szCs w:val="44"/>
        </w:rPr>
        <w:t xml:space="preserve">技术规范书</w:t>
      </w:r>
      <w:r>
        <w:rPr>
          <w:rFonts w:hint="eastAsia" w:ascii="微软雅黑" w:hAnsi="微软雅黑" w:eastAsia="微软雅黑" w:cs="微软雅黑"/>
          <w:bCs/>
        </w:rPr>
      </w:r>
      <w:r/>
    </w:p>
    <w:p>
      <w:pPr>
        <w:pStyle w:val="1044"/>
        <w:numPr>
          <w:ilvl w:val="0"/>
          <w:numId w:val="10"/>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总则</w:t>
      </w:r>
      <w:r>
        <w:rPr>
          <w:rFonts w:hint="eastAsia" w:ascii="微软雅黑" w:hAnsi="微软雅黑" w:cs="微软雅黑"/>
          <w:b/>
          <w:szCs w:val="21"/>
        </w:rPr>
      </w:r>
      <w:r/>
    </w:p>
    <w:p>
      <w:pPr>
        <w:pStyle w:val="1044"/>
        <w:spacing w:line="440" w:lineRule="exact"/>
        <w:tabs>
          <w:tab w:val="left" w:pos="1920" w:leader="none"/>
        </w:tabs>
        <w:rPr>
          <w:rFonts w:hint="eastAsia" w:ascii="微软雅黑" w:hAnsi="微软雅黑" w:cs="微软雅黑"/>
          <w:szCs w:val="21"/>
        </w:rPr>
      </w:pPr>
      <w:r>
        <w:rPr>
          <w:rFonts w:hint="eastAsia" w:ascii="微软雅黑" w:hAnsi="微软雅黑" w:cs="微软雅黑"/>
          <w:szCs w:val="21"/>
        </w:rPr>
        <w:t xml:space="preserve">本部分规定了变压器招标的总则、技术参数和性能要求、试验、包装、运输、交货的一般要求。</w:t>
      </w:r>
      <w:r>
        <w:rPr>
          <w:rFonts w:hint="eastAsia" w:ascii="微软雅黑" w:hAnsi="微软雅黑" w:cs="微软雅黑"/>
          <w:szCs w:val="21"/>
        </w:rPr>
      </w:r>
      <w:r/>
    </w:p>
    <w:p>
      <w:pPr>
        <w:pStyle w:val="1044"/>
        <w:spacing w:line="440" w:lineRule="exact"/>
        <w:tabs>
          <w:tab w:val="left" w:pos="1920" w:leader="none"/>
        </w:tabs>
        <w:rPr>
          <w:rFonts w:hint="eastAsia" w:ascii="微软雅黑" w:hAnsi="微软雅黑" w:cs="微软雅黑"/>
          <w:szCs w:val="21"/>
        </w:rPr>
      </w:pPr>
      <w:r>
        <w:rPr>
          <w:rFonts w:hint="eastAsia" w:ascii="微软雅黑" w:hAnsi="微软雅黑" w:cs="微软雅黑"/>
          <w:szCs w:val="21"/>
        </w:rPr>
        <w:t xml:space="preserve">本部分适用于变压器招标。</w:t>
      </w:r>
      <w:r>
        <w:rPr>
          <w:rFonts w:hint="eastAsia" w:ascii="微软雅黑" w:hAnsi="微软雅黑" w:cs="微软雅黑"/>
          <w:szCs w:val="21"/>
        </w:rPr>
      </w:r>
      <w:r/>
    </w:p>
    <w:p>
      <w:pPr>
        <w:pStyle w:val="1044"/>
        <w:numPr>
          <w:ilvl w:val="0"/>
          <w:numId w:val="10"/>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规范性引用文件</w:t>
      </w:r>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下列文件对于本文件的应用是必不可少的。凡是注日期的引用文件，仅注日期的版本适用于本文件。凡是不注日期的引用文件，其最新版本适用于本文件。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 311.1　绝缘配合　第1部分：定义、原则和规则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GB1094.1　电力变压器　第1部分：总则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GB1094.3　电力变压器　第3部分：绝缘水平、绝缘试验和外绝缘空气间隙</w:t>
      </w:r>
      <w:r>
        <w:rPr>
          <w:rFonts w:hint="eastAsia" w:ascii="微软雅黑" w:hAnsi="微软雅黑" w:cs="微软雅黑"/>
          <w:szCs w:val="21"/>
        </w:rPr>
        <w:tab/>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GB/T1094.4　电力变压器　第4部分：电力变压器和电抗器的雷电冲击和操作冲击试验导则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GB1094.5　电力变压器　第5部分：承受短路的能力</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GB/T1094.10　电力变压器　第10部分：声级测定</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GB/T1094.11　电力变压器　第11部分：干式电力变压器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GB/T17211   干式电力变压器负载导则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2900.15　电工术语　变压器、互感器、调压器和电抗器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GB/T4109　交流电压高于1000V的绝缘套管</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 4208　外壳防护等级（IP代码）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GB/T5273　变压器、高压电器和套管的接线端子</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GB/T7252　变压器油中溶解气体分析和判断导则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GB/T7354　局部放电测量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GB/T8287.1　标称电压高于1000V系统用户内和户外支柱绝缘子　第1部分：瓷或玻璃绝缘子的试验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GB/T8287.2　标称电压高于1000V系统用户内和户外支柱绝缘子　第2部分：尺寸与特性</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10228　干式电力变压器技术参数和要求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11022　高压开关设备和控制设备标准的共用技术要求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GB11604　高压电器设备无线电干扰测试方法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GB/T13499　电力变压器应用导则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16927.1　高电压试验技术　第1部分：一般定义及试验要求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16927.2　高电压试验技术　第2部分：测量系统</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GB/T17468　电力变压器选用导则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 20052　三相配电变压器能效限定值及节能评价值</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22072　干式非晶合金铁铁芯配电变压器技术参数和要求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26218.1　污秽条件下使用的高压绝缘子的选择和尺寸确定　第1部分：定义、信息和一般原则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26218.2　污秽条件下使用的高压绝缘子的选择和尺寸确定　第2部分：交流系统用瓷和玻璃绝缘子</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 50150　电气装置安装工程　电气设备交接试验标准</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DL/T572　电力变压器运行规程</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DL/T 593　高压开关设备和控制设备标准的共用技术要求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DL/T596　电力设备预防性试验规程</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DL 5027　电力设备典型消防规程</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3837　变压器类产品型号编制方法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10088  6kV～500kV电力变压器声级</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10428　变压器用多功能保护装置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Q/GDW 1771  10kV非晶合金铁芯配电变压器技术条件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Q/GDW 1772  10kV非晶合金铁芯配电变压器试验导则</w:t>
      </w:r>
      <w:r>
        <w:rPr>
          <w:rFonts w:hint="eastAsia" w:ascii="微软雅黑" w:hAnsi="微软雅黑" w:cs="微软雅黑"/>
          <w:szCs w:val="21"/>
        </w:rPr>
      </w:r>
      <w:r/>
    </w:p>
    <w:p>
      <w:pPr>
        <w:pStyle w:val="1044"/>
        <w:numPr>
          <w:ilvl w:val="0"/>
          <w:numId w:val="10"/>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技术性能指标要求</w:t>
      </w:r>
      <w:r>
        <w:rPr>
          <w:rFonts w:hint="eastAsia" w:ascii="微软雅黑" w:hAnsi="微软雅黑" w:cs="微软雅黑"/>
          <w:b/>
          <w:szCs w:val="21"/>
        </w:rPr>
      </w:r>
      <w:r/>
    </w:p>
    <w:p>
      <w:pPr>
        <w:pStyle w:val="1044"/>
        <w:spacing w:before="159" w:after="159" w:line="440" w:lineRule="exact"/>
        <w:rPr>
          <w:rFonts w:hint="eastAsia" w:ascii="微软雅黑" w:hAnsi="微软雅黑" w:cs="微软雅黑"/>
          <w:szCs w:val="21"/>
        </w:rPr>
      </w:pPr>
      <w:r/>
      <w:bookmarkStart w:id="140" w:name="_Toc165125328"/>
      <w:r/>
      <w:bookmarkStart w:id="141" w:name="_Toc252017382"/>
      <w:r/>
      <w:bookmarkStart w:id="142" w:name="_Toc156016642"/>
      <w:r/>
      <w:bookmarkStart w:id="143" w:name="_Toc257408701"/>
      <w:r>
        <w:rPr>
          <w:rFonts w:hint="eastAsia" w:ascii="微软雅黑" w:hAnsi="微软雅黑" w:cs="微软雅黑"/>
          <w:szCs w:val="21"/>
        </w:rPr>
        <w:t xml:space="preserve">3.1　10kV变压器技术参数</w:t>
      </w:r>
      <w:bookmarkEnd w:id="140"/>
      <w:r/>
      <w:bookmarkEnd w:id="141"/>
      <w:r/>
      <w:bookmarkEnd w:id="142"/>
      <w:r/>
      <w:bookmarkEnd w:id="143"/>
      <w:r>
        <w:rPr>
          <w:rFonts w:hint="eastAsia" w:ascii="微软雅黑" w:hAnsi="微软雅黑" w:cs="微软雅黑"/>
          <w:szCs w:val="21"/>
        </w:rPr>
      </w:r>
      <w:r/>
    </w:p>
    <w:p>
      <w:pPr>
        <w:pStyle w:val="1044"/>
        <w:ind w:firstLine="424"/>
        <w:spacing w:line="440" w:lineRule="exact"/>
        <w:rPr>
          <w:rFonts w:hint="eastAsia" w:ascii="微软雅黑" w:hAnsi="微软雅黑" w:cs="微软雅黑"/>
          <w:szCs w:val="21"/>
        </w:rPr>
      </w:pPr>
      <w:r>
        <w:rPr>
          <w:rFonts w:hint="eastAsia" w:ascii="微软雅黑" w:hAnsi="微软雅黑" w:cs="微软雅黑"/>
          <w:szCs w:val="21"/>
        </w:rPr>
        <w:t xml:space="preserve">变压器空载损耗及负载损耗不得有正偏差。</w:t>
      </w:r>
      <w:r>
        <w:rPr>
          <w:rFonts w:hint="eastAsia" w:ascii="微软雅黑" w:hAnsi="微软雅黑" w:cs="微软雅黑"/>
          <w:szCs w:val="21"/>
        </w:rPr>
      </w:r>
      <w:r/>
    </w:p>
    <w:p>
      <w:pPr>
        <w:pStyle w:val="1044"/>
        <w:spacing w:before="159" w:after="159" w:line="440" w:lineRule="exact"/>
        <w:rPr>
          <w:rFonts w:hint="eastAsia" w:ascii="微软雅黑" w:hAnsi="微软雅黑" w:cs="微软雅黑"/>
          <w:szCs w:val="21"/>
        </w:rPr>
      </w:pPr>
      <w:r/>
      <w:bookmarkStart w:id="144" w:name="_Toc257408702"/>
      <w:r/>
      <w:bookmarkStart w:id="145" w:name="_2.2__10kV变压器主要技术要求"/>
      <w:r/>
      <w:bookmarkStart w:id="146" w:name="_Toc252017383"/>
      <w:r>
        <w:rPr>
          <w:rFonts w:hint="eastAsia" w:ascii="微软雅黑" w:hAnsi="微软雅黑" w:cs="微软雅黑"/>
          <w:szCs w:val="21"/>
        </w:rPr>
        <w:t xml:space="preserve">3.2　10kV干式变压器主要技术要求</w:t>
      </w:r>
      <w:bookmarkEnd w:id="144"/>
      <w:r/>
      <w:bookmarkEnd w:id="146"/>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bookmarkEnd w:id="145"/>
      <w:r>
        <w:rPr>
          <w:rFonts w:hint="eastAsia" w:ascii="微软雅黑" w:hAnsi="微软雅黑" w:cs="微软雅黑"/>
          <w:szCs w:val="21"/>
        </w:rPr>
        <w:t xml:space="preserve">a）在短路下的耐受能力。具有良好的电气及机械性能，具备抗突发短路能力强和耐雷电冲击力高等特点，并符合GB 1094.5的试验规定。</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b）变压器的寿命。变压器在规定的工作条件和负荷条件下运行，并按照</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的说明书进行维护，变压器的预期寿命应不小于30年。</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线圈采用铜导线或铜箔绕制，玻璃纤维与环氧树脂复合材料作绝缘，薄绝缘结构，预埋树脂散热气道，真空状态浸渍式浇注，按特定的温度曲线固化成型，绕组内外表面用进口预浸树脂玻璃丝网覆盖加强。环氧树脂浇注的高低压绕组应一次成型，不得修补。</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d）变压器分接引线需包封绝缘护套。</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e）变压器运行过程中，温度控制装置巡回显示各相绕组的温度值，高温报警，超温跳闸，声光警示，计算机接口。若有风机，则需有启、停，风机过载保护，并带有仪表故障自检、传感器故障报警等功能。温控线根据现场要求配置，这些装置应符合各自的技术标准。</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f）要求大部分材料由不可燃烧的材料构成。800℃高温长期燃烧下只产生少量烟雾。</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g）对带防护外壳的变压器门要求加装机械锁或电磁锁，在变压器带电时不允许打开变压器门，并装有行程开关，对变压器运行状态下，强行开门跳主变压器高压侧开关。变压器和金属件均有可靠接地，接地装置有防锈镀层，并有明显标识，铁芯和全部金属件均有防锈保护层。</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h）变压器壳体选用易于安装、维护的优质非导磁材料，下有通风百叶或网孔，上有出风孔，出风口的总面积满足变压器满负载运行时的散热要求，外壳防护等级大于IP20。壳体设计应符合GB 4208的要求。变压器柜体高低压两侧均可采用上部和下部进线方式，并在外壳进线部位预留进线口；对下部进线应配有电缆支架，用于固定进线电缆。</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i）铁芯结构及材质。</w:t>
      </w:r>
      <w:r>
        <w:rPr>
          <w:rFonts w:hint="eastAsia" w:ascii="微软雅黑" w:hAnsi="微软雅黑" w:cs="微软雅黑"/>
          <w:szCs w:val="21"/>
        </w:rPr>
      </w:r>
      <w:r/>
    </w:p>
    <w:p>
      <w:pPr>
        <w:pStyle w:val="1044"/>
        <w:ind w:left="821" w:hanging="218"/>
        <w:spacing w:line="440" w:lineRule="exact"/>
        <w:rPr>
          <w:rFonts w:hint="eastAsia" w:ascii="微软雅黑" w:hAnsi="微软雅黑" w:cs="微软雅黑"/>
          <w:szCs w:val="21"/>
        </w:rPr>
      </w:pPr>
      <w:r/>
      <w:bookmarkStart w:id="147" w:name="_Toc353982030"/>
      <w:r>
        <w:rPr>
          <w:rFonts w:hint="eastAsia" w:ascii="微软雅黑" w:hAnsi="微软雅黑" w:cs="微软雅黑"/>
          <w:szCs w:val="21"/>
        </w:rPr>
        <w:t xml:space="preserve">1）铁芯为硅钢片（包括卷铁式及叠铁式）。铁芯为优质冷轧、高导磁、晶粒取向硅钢片（铁芯规格不低于30ZH120）；采用优质环氧树脂。变压器铁芯采用45°全斜接缝，心柱表面应喷涂绝缘漆，心柱采用绝缘带绑扎及拉板结构。</w:t>
      </w:r>
      <w:bookmarkEnd w:id="147"/>
      <w:r>
        <w:rPr>
          <w:rFonts w:hint="eastAsia" w:ascii="微软雅黑" w:hAnsi="微软雅黑" w:cs="微软雅黑"/>
          <w:szCs w:val="21"/>
        </w:rPr>
      </w:r>
      <w:r/>
    </w:p>
    <w:p>
      <w:pPr>
        <w:pStyle w:val="1044"/>
        <w:ind w:left="821" w:hanging="218"/>
        <w:spacing w:line="440" w:lineRule="exact"/>
        <w:rPr>
          <w:rFonts w:hint="eastAsia" w:ascii="微软雅黑" w:hAnsi="微软雅黑" w:cs="微软雅黑"/>
          <w:szCs w:val="21"/>
        </w:rPr>
      </w:pPr>
      <w:r/>
      <w:bookmarkStart w:id="148" w:name="_Toc353982031"/>
      <w:r>
        <w:rPr>
          <w:rFonts w:hint="eastAsia" w:ascii="微软雅黑" w:hAnsi="微软雅黑" w:cs="微软雅黑"/>
          <w:szCs w:val="21"/>
        </w:rPr>
        <w:t xml:space="preserve">2）铁芯为非晶合金变压器。铁芯由非晶合金带材卷制而成。预埋树脂散热气道，真空状态浸渍式浇注，按特定的温度曲线固化成型，绕组内外表面用进口预浸树脂玻璃丝网覆盖加强。</w:t>
      </w:r>
      <w:bookmarkEnd w:id="148"/>
      <w:r>
        <w:rPr>
          <w:rFonts w:hint="eastAsia" w:ascii="微软雅黑" w:hAnsi="微软雅黑" w:cs="微软雅黑"/>
          <w:szCs w:val="21"/>
        </w:rPr>
      </w:r>
      <w:r/>
    </w:p>
    <w:p>
      <w:pPr>
        <w:pStyle w:val="1044"/>
        <w:spacing w:before="159" w:after="159" w:line="440" w:lineRule="exact"/>
        <w:rPr>
          <w:rFonts w:hint="eastAsia" w:ascii="微软雅黑" w:hAnsi="微软雅黑" w:cs="微软雅黑"/>
          <w:szCs w:val="21"/>
        </w:rPr>
      </w:pPr>
      <w:r/>
      <w:bookmarkStart w:id="149" w:name="_Toc156016643"/>
      <w:r/>
      <w:bookmarkStart w:id="150" w:name="_Toc165125329"/>
      <w:r>
        <w:rPr>
          <w:rFonts w:hint="eastAsia" w:ascii="微软雅黑" w:hAnsi="微软雅黑" w:cs="微软雅黑"/>
          <w:szCs w:val="21"/>
        </w:rPr>
        <w:fldChar w:fldCharType="begin"/>
      </w:r>
      <w:r>
        <w:rPr>
          <w:rFonts w:hint="eastAsia" w:ascii="微软雅黑" w:hAnsi="微软雅黑" w:cs="微软雅黑"/>
          <w:szCs w:val="21"/>
        </w:rPr>
        <w:instrText xml:space="preserve"> HYPERLINK \l "_2.2  10kV变压器主要技术要求"</w:instrText>
      </w:r>
      <w:r>
        <w:rPr>
          <w:rFonts w:hint="eastAsia" w:ascii="微软雅黑" w:hAnsi="微软雅黑" w:cs="微软雅黑"/>
          <w:szCs w:val="21"/>
        </w:rPr>
        <w:fldChar w:fldCharType="separate"/>
      </w:r>
      <w:bookmarkStart w:id="151" w:name="_Toc252017384"/>
      <w:r/>
      <w:bookmarkStart w:id="152" w:name="_Toc257408705"/>
      <w:r>
        <w:rPr>
          <w:rFonts w:hint="eastAsia" w:ascii="微软雅黑" w:hAnsi="微软雅黑" w:cs="微软雅黑"/>
          <w:szCs w:val="21"/>
        </w:rPr>
        <w:t xml:space="preserve">3.3　通用要求</w:t>
      </w:r>
      <w:bookmarkEnd w:id="149"/>
      <w:r/>
      <w:bookmarkEnd w:id="150"/>
      <w:r/>
      <w:bookmarkEnd w:id="151"/>
      <w:r/>
      <w:bookmarkEnd w:id="152"/>
      <w:r>
        <w:rPr>
          <w:rFonts w:hint="eastAsia" w:ascii="微软雅黑" w:hAnsi="微软雅黑" w:cs="微软雅黑"/>
          <w:szCs w:val="21"/>
        </w:rPr>
        <w:fldChar w:fldCharType="end"/>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　全部设备应能持久耐用，即使在技术规范中没有明确地提出，也应满足在实际运行工况下作为一个完整产品一般应能满足的全部要求。</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3.3.2　耐地震要求：</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a）设备及设备支座应按承受地震荷载时能保持结构完整来设计。</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需提供设备在受到本合同规定的地震条件下产生荷载时仍能保持结构完整性能。可以采用以下其中一种方式或是综合几种方法来证明设备的抗震能力：</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bookmarkStart w:id="153" w:name="_Toc353982032"/>
      <w:r>
        <w:rPr>
          <w:rFonts w:hint="eastAsia" w:ascii="微软雅黑" w:hAnsi="微软雅黑" w:cs="微软雅黑"/>
          <w:szCs w:val="21"/>
        </w:rPr>
        <w:t xml:space="preserve">1）采用数学静态分析预测设备在地震荷载作用下的性能和反应。</w:t>
      </w:r>
      <w:bookmarkEnd w:id="153"/>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bookmarkStart w:id="154" w:name="_Toc353982033"/>
      <w:r>
        <w:rPr>
          <w:rFonts w:hint="eastAsia" w:ascii="微软雅黑" w:hAnsi="微软雅黑" w:cs="微软雅黑"/>
          <w:szCs w:val="21"/>
        </w:rPr>
        <w:t xml:space="preserve">2）测试设备在模拟地震条件下（静态或动态测试）的工作情况。</w:t>
      </w:r>
      <w:bookmarkEnd w:id="154"/>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bookmarkStart w:id="155" w:name="_Toc353982034"/>
      <w:r>
        <w:rPr>
          <w:rFonts w:hint="eastAsia" w:ascii="微软雅黑" w:hAnsi="微软雅黑" w:cs="微软雅黑"/>
          <w:szCs w:val="21"/>
        </w:rPr>
        <w:t xml:space="preserve">3）利用设备前一次的地震鉴定，来证明设备在合同规定的地震条件下的适应性。</w:t>
      </w:r>
      <w:bookmarkEnd w:id="155"/>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c）支座设计不考虑水平剪切力产生的摩擦力。</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d）在地震荷载及其他荷载综合作用下的材料最大应力应满足本技术规范中设计规范和标准的设计要求的正常允许应力。</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e）需要检测正常运行荷载及地震荷载所引起的变形来证实其无损于结构完整性。</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3.3.3　所有的设备应便于拆卸、检查和安装。</w:t>
      </w:r>
      <w:r>
        <w:rPr>
          <w:rFonts w:hint="eastAsia" w:ascii="微软雅黑" w:hAnsi="微软雅黑" w:cs="微软雅黑"/>
          <w:szCs w:val="21"/>
        </w:rPr>
      </w:r>
      <w:r/>
    </w:p>
    <w:p>
      <w:pPr>
        <w:pStyle w:val="1044"/>
        <w:ind w:firstLine="2"/>
        <w:spacing w:line="440" w:lineRule="exact"/>
        <w:rPr>
          <w:rFonts w:hint="eastAsia" w:ascii="微软雅黑" w:hAnsi="微软雅黑" w:cs="微软雅黑"/>
          <w:szCs w:val="21"/>
        </w:rPr>
      </w:pPr>
      <w:r>
        <w:rPr>
          <w:rFonts w:hint="eastAsia" w:ascii="微软雅黑" w:hAnsi="微软雅黑" w:cs="微软雅黑"/>
          <w:szCs w:val="21"/>
        </w:rPr>
        <w:t xml:space="preserve">所有的设备都应有相位、吊装部位、中心线、连接部位、接地部位等标记，以便简化现场的安装工作。</w:t>
      </w:r>
      <w:r>
        <w:rPr>
          <w:rFonts w:hint="eastAsia" w:ascii="微软雅黑" w:hAnsi="微软雅黑" w:cs="微软雅黑"/>
          <w:szCs w:val="21"/>
        </w:rPr>
      </w:r>
      <w:r/>
    </w:p>
    <w:p>
      <w:pPr>
        <w:pStyle w:val="1044"/>
        <w:ind w:firstLine="2"/>
        <w:spacing w:line="440" w:lineRule="exact"/>
        <w:rPr>
          <w:rFonts w:hint="eastAsia" w:ascii="微软雅黑" w:hAnsi="微软雅黑" w:cs="微软雅黑"/>
          <w:szCs w:val="21"/>
        </w:rPr>
      </w:pPr>
      <w:r>
        <w:rPr>
          <w:rFonts w:hint="eastAsia" w:ascii="微软雅黑" w:hAnsi="微软雅黑" w:cs="微软雅黑"/>
          <w:szCs w:val="21"/>
        </w:rPr>
        <w:t xml:space="preserve">3.3.4　变压器应设计成低噪声，使其分别满足技术性能要求。</w:t>
      </w:r>
      <w:r>
        <w:rPr>
          <w:rFonts w:hint="eastAsia" w:ascii="微软雅黑" w:hAnsi="微软雅黑" w:cs="微软雅黑"/>
          <w:szCs w:val="21"/>
        </w:rPr>
      </w:r>
      <w:r/>
    </w:p>
    <w:p>
      <w:pPr>
        <w:pStyle w:val="1044"/>
        <w:ind w:firstLine="2"/>
        <w:spacing w:line="440" w:lineRule="exact"/>
        <w:rPr>
          <w:rFonts w:hint="eastAsia" w:ascii="微软雅黑" w:hAnsi="微软雅黑" w:cs="微软雅黑"/>
          <w:szCs w:val="21"/>
        </w:rPr>
      </w:pPr>
      <w:r>
        <w:rPr>
          <w:rFonts w:hint="eastAsia" w:ascii="微软雅黑" w:hAnsi="微软雅黑" w:cs="微软雅黑"/>
          <w:szCs w:val="21"/>
        </w:rPr>
        <w:t xml:space="preserve">3.3.5　要求检查或更换的设备部件，应用螺栓与螺母固定，所有的螺栓和螺母应采取热镀锌措施。</w:t>
      </w:r>
      <w:r>
        <w:rPr>
          <w:rFonts w:hint="eastAsia" w:ascii="微软雅黑" w:hAnsi="微软雅黑" w:cs="微软雅黑"/>
          <w:szCs w:val="21"/>
        </w:rPr>
      </w:r>
      <w:r/>
    </w:p>
    <w:p>
      <w:pPr>
        <w:pStyle w:val="1044"/>
        <w:ind w:firstLine="2"/>
        <w:spacing w:line="440" w:lineRule="exact"/>
        <w:rPr>
          <w:rFonts w:hint="eastAsia" w:ascii="微软雅黑" w:hAnsi="微软雅黑" w:cs="微软雅黑"/>
          <w:szCs w:val="21"/>
        </w:rPr>
      </w:pPr>
      <w:r>
        <w:rPr>
          <w:rFonts w:hint="eastAsia" w:ascii="微软雅黑" w:hAnsi="微软雅黑" w:cs="微软雅黑"/>
          <w:szCs w:val="21"/>
        </w:rPr>
        <w:t xml:space="preserve">3.3.6　设备应能安全地承受技术规范所规定的最大风速及端子拉力。</w:t>
      </w:r>
      <w:r>
        <w:rPr>
          <w:rFonts w:hint="eastAsia" w:ascii="微软雅黑" w:hAnsi="微软雅黑" w:cs="微软雅黑"/>
          <w:szCs w:val="21"/>
        </w:rPr>
      </w:r>
      <w:r/>
    </w:p>
    <w:p>
      <w:pPr>
        <w:pStyle w:val="1044"/>
        <w:ind w:firstLine="2"/>
        <w:spacing w:line="440" w:lineRule="exact"/>
        <w:rPr>
          <w:rFonts w:hint="eastAsia" w:ascii="微软雅黑" w:hAnsi="微软雅黑" w:cs="微软雅黑"/>
          <w:szCs w:val="21"/>
        </w:rPr>
      </w:pPr>
      <w:r>
        <w:rPr>
          <w:rFonts w:hint="eastAsia" w:ascii="微软雅黑" w:hAnsi="微软雅黑" w:cs="微软雅黑"/>
          <w:szCs w:val="21"/>
        </w:rPr>
        <w:t xml:space="preserve">3.3.7　用于设备上的套管、绝缘子应有足够的机械及电气强度。</w:t>
      </w:r>
      <w:r>
        <w:rPr>
          <w:rFonts w:hint="eastAsia" w:ascii="微软雅黑" w:hAnsi="微软雅黑" w:cs="微软雅黑"/>
          <w:szCs w:val="21"/>
        </w:rPr>
      </w:r>
      <w:r/>
    </w:p>
    <w:p>
      <w:pPr>
        <w:pStyle w:val="1044"/>
        <w:ind w:left="2" w:firstLine="2"/>
        <w:spacing w:line="440" w:lineRule="exact"/>
        <w:rPr>
          <w:rFonts w:hint="eastAsia" w:ascii="微软雅黑" w:hAnsi="微软雅黑" w:cs="微软雅黑"/>
          <w:szCs w:val="21"/>
        </w:rPr>
      </w:pPr>
      <w:r>
        <w:rPr>
          <w:rFonts w:hint="eastAsia" w:ascii="微软雅黑" w:hAnsi="微软雅黑" w:cs="微软雅黑"/>
          <w:szCs w:val="21"/>
        </w:rPr>
        <w:t xml:space="preserve">3.3.8　设备中所使用的全部材料应说明指定的品位和等级。</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3.3.9　焊接：</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a）焊接应不得发生虚焊、裂缝及其他任何缺陷。</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由焊接相连的钢板应精确地按尺寸要求切割，并靠压力连续地将焊件的棱边滚轧成合适的曲率半径。切割钢板和其他材料在进行焊接时不应产生任何弯曲。进行焊接的棱边的尺寸和形状应足以允许完全融熔和全部熔焊，而且钢板的棱边应严格地成型，以使之能适应于各种焊接条件。</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应提供认可的焊接工艺及材料、焊条和焊接的非破坏性试验。</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d）导体连接采用磷铜焊，不应锡焊。</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3.3.10　设备接线端子：</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a）设备应配备接线端子，其尺寸应满足回路的额定电流及连接要求。</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b）接线端子的接触面应镀锡，160kVA及以上变压器低压出线要求配置铜质旋入式平板接线端子。</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c）设备的接地端子应为螺栓式，适合于连接。接地连接线应为铜质，其截面应与可能流过的短路电流相适应。</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3.3.11　油漆和防锈：</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a）所有外露的金属部件，除了非磁性金属外，均应热镀锌。镀锌金属件的表面应光滑、均匀，最小镀锌层厚度为90m。镀锌前，需将所有焊渣清除干净。</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b）按本部分提供的任何设备，在发运前，除有色金属、热镀锌钢件、抛光或机械加工的表面以外，所有的金属外露部分均应作最小表面的喷砂清洗，喷砂清除后应喷涂一层底漆。</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c）所使用的底漆和面漆的材料与型号，应符合制造厂的标准。面漆应与底漆协调，对各种环境条件有良好的耐用性。</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d）所有的外表面的面漆颜色应依照</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的要求。</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e）在户外的端子板、螺栓、螺母和垫圈应采取防腐蚀措施，尤其应防止不同金属之间的腐蚀，而且应防止水分进到螺纹中。</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f）热镀锌。全部热镀锌应根据ASTMA123、A134和A153的要求进行。大面积的镀锌损伤将拒收。</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g）设备清洁。在制造过程中需保持设备内部清洁。</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3.3.12　铭牌：</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a）变压器的铭牌应清晰，其内容应符合GB 1094.1的规定。</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b）铭牌应为不锈钢材质，设备零件及其附件上的指示牌、警告牌应标识清晰。</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3.3.13　运输和存放：</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a）应避免在运输过程中受损，应可存放两年（如未另外说明存放期）。</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b）如因</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措施不当，导致运输过程中设备受损，</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应负责修复或替换，费用自负。</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c）变压器运输包装应满足运输的要求。</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3.3.14　电气一次接口</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3.3.14.1　套管布置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a）三相变压器套管排列顺序见图1。</w:t>
      </w:r>
      <w:r>
        <w:rPr>
          <w:rFonts w:hint="eastAsia" w:ascii="微软雅黑" w:hAnsi="微软雅黑" w:cs="微软雅黑"/>
          <w:szCs w:val="21"/>
        </w:rPr>
      </w:r>
      <w:r/>
    </w:p>
    <w:p>
      <w:pPr>
        <w:pStyle w:val="1044"/>
        <w:jc w:val="center"/>
        <w:spacing w:before="160" w:after="60" w:line="440" w:lineRule="exact"/>
        <w:rPr>
          <w:rFonts w:hint="eastAsia"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1455420</wp:posOffset>
                </wp:positionH>
                <wp:positionV relativeFrom="paragraph">
                  <wp:posOffset>126365</wp:posOffset>
                </wp:positionV>
                <wp:extent cx="2313940" cy="171450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313940" cy="171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114.6pt;mso-position-horizontal:absolute;mso-position-vertical-relative:text;margin-top:9.9pt;mso-position-vertical:absolute;width:182.2pt;height:135.0pt;mso-wrap-distance-left:9.0pt;mso-wrap-distance-top:0.0pt;mso-wrap-distance-right:9.0pt;mso-wrap-distance-bottom:0.0pt;" stroked="f">
                <v:path textboxrect="0,0,0,0"/>
                <w10:wrap type="square"/>
                <v:imagedata r:id="rId19" o:title=""/>
              </v:shape>
            </w:pict>
          </mc:Fallback>
        </mc:AlternateContent>
      </w: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t xml:space="preserve">图1　</w:t>
      </w:r>
      <w:r>
        <w:rPr>
          <w:rFonts w:hint="eastAsia" w:ascii="微软雅黑" w:hAnsi="微软雅黑" w:cs="微软雅黑"/>
          <w:b/>
          <w:szCs w:val="21"/>
        </w:rPr>
        <w:t xml:space="preserve">10kV</w:t>
      </w:r>
      <w:r>
        <w:rPr>
          <w:rFonts w:hint="eastAsia" w:ascii="微软雅黑" w:hAnsi="微软雅黑" w:cs="微软雅黑"/>
          <w:szCs w:val="21"/>
        </w:rPr>
        <w:t xml:space="preserve">联结组标号为</w:t>
      </w:r>
      <w:r>
        <w:rPr>
          <w:rFonts w:hint="eastAsia" w:ascii="微软雅黑" w:hAnsi="微软雅黑" w:cs="微软雅黑"/>
          <w:b/>
          <w:szCs w:val="21"/>
        </w:rPr>
        <w:t xml:space="preserve">Dyn11，Yyn0</w:t>
      </w:r>
      <w:r>
        <w:rPr>
          <w:rFonts w:hint="eastAsia" w:ascii="微软雅黑" w:hAnsi="微软雅黑" w:cs="微软雅黑"/>
          <w:szCs w:val="21"/>
        </w:rPr>
        <w:t xml:space="preserve">的双绕组变压器套管排列顺序</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b）单相变压器高、低压套管排列顺序从左向右依次为A、X、a、x1（如果有）、x（面向高压侧），带气隙的密封式单相变压器低压接线端子一般应在箱壁引出。</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3.3.14.2　接地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干式变压器的接地装置应有防锈层及明显的接线标志。</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3.3.15　电气二次接口</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3.3.15.1　干式变压器温度保护装置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干式变压器温度保护用于跳闸和报警，变压器应有高温报警和超温跳闸功能，见表1。</w:t>
      </w:r>
      <w:r>
        <w:rPr>
          <w:rFonts w:hint="eastAsia" w:ascii="微软雅黑" w:hAnsi="微软雅黑" w:cs="微软雅黑"/>
          <w:szCs w:val="21"/>
        </w:rPr>
      </w:r>
      <w:r/>
    </w:p>
    <w:p>
      <w:pPr>
        <w:pStyle w:val="1044"/>
        <w:jc w:val="center"/>
        <w:spacing w:before="160" w:after="60" w:line="440" w:lineRule="exact"/>
        <w:rPr>
          <w:rFonts w:hint="eastAsia" w:ascii="微软雅黑" w:hAnsi="微软雅黑" w:cs="微软雅黑"/>
          <w:szCs w:val="21"/>
        </w:rPr>
      </w:pPr>
      <w:r>
        <w:rPr>
          <w:rFonts w:hint="eastAsia" w:ascii="微软雅黑" w:hAnsi="微软雅黑" w:cs="微软雅黑"/>
          <w:szCs w:val="21"/>
        </w:rPr>
        <w:t xml:space="preserve">表1　干式变压器温度保护装置</w:t>
      </w:r>
      <w:r>
        <w:rPr>
          <w:rFonts w:hint="eastAsia" w:ascii="微软雅黑" w:hAnsi="微软雅黑" w:cs="微软雅黑"/>
          <w:szCs w:val="21"/>
        </w:rPr>
      </w:r>
      <w:r/>
    </w:p>
    <w:tbl>
      <w:tblPr>
        <w:tblW w:w="941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1921"/>
        <w:gridCol w:w="1735"/>
        <w:gridCol w:w="2588"/>
        <w:gridCol w:w="2190"/>
      </w:tblGrid>
      <w:tr>
        <w:trPr/>
        <w:tc>
          <w:tcPr>
            <w:tcW w:w="97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192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保护名称</w:t>
            </w:r>
            <w:r>
              <w:rPr>
                <w:rFonts w:hint="eastAsia" w:ascii="微软雅黑" w:hAnsi="微软雅黑" w:cs="微软雅黑"/>
                <w:szCs w:val="21"/>
              </w:rPr>
            </w:r>
            <w:r/>
          </w:p>
        </w:tc>
        <w:tc>
          <w:tcPr>
            <w:tcW w:w="1735"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接点内容</w:t>
            </w:r>
            <w:r>
              <w:rPr>
                <w:rFonts w:hint="eastAsia" w:ascii="微软雅黑" w:hAnsi="微软雅黑" w:cs="微软雅黑"/>
                <w:szCs w:val="21"/>
              </w:rPr>
            </w:r>
            <w:r/>
          </w:p>
        </w:tc>
        <w:tc>
          <w:tcPr>
            <w:tcW w:w="25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电源及触点容量</w:t>
            </w:r>
            <w:r>
              <w:rPr>
                <w:rFonts w:hint="eastAsia" w:ascii="微软雅黑" w:hAnsi="微软雅黑" w:cs="微软雅黑"/>
                <w:szCs w:val="21"/>
              </w:rPr>
            </w:r>
            <w:r/>
          </w:p>
        </w:tc>
        <w:tc>
          <w:tcPr>
            <w:tcW w:w="2190"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触点数量</w:t>
            </w:r>
            <w:r>
              <w:rPr>
                <w:rFonts w:hint="eastAsia" w:ascii="微软雅黑" w:hAnsi="微软雅黑" w:cs="微软雅黑"/>
                <w:szCs w:val="21"/>
              </w:rPr>
            </w:r>
            <w:r/>
          </w:p>
        </w:tc>
      </w:tr>
      <w:tr>
        <w:trPr/>
        <w:tc>
          <w:tcPr>
            <w:tcW w:w="97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92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温度指示控制器</w:t>
            </w:r>
            <w:r>
              <w:rPr>
                <w:rFonts w:hint="eastAsia" w:ascii="微软雅黑" w:hAnsi="微软雅黑" w:cs="微软雅黑"/>
                <w:szCs w:val="21"/>
              </w:rPr>
            </w:r>
            <w:r/>
          </w:p>
        </w:tc>
        <w:tc>
          <w:tcPr>
            <w:tcW w:w="1735"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报警或跳闸</w:t>
            </w:r>
            <w:r>
              <w:rPr>
                <w:rFonts w:hint="eastAsia" w:ascii="微软雅黑" w:hAnsi="微软雅黑" w:cs="微软雅黑"/>
                <w:szCs w:val="21"/>
              </w:rPr>
            </w:r>
            <w:r/>
          </w:p>
        </w:tc>
        <w:tc>
          <w:tcPr>
            <w:tcW w:w="25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DC220V/110V</w:t>
            </w:r>
            <w:r>
              <w:rPr>
                <w:rFonts w:hint="eastAsia" w:ascii="微软雅黑" w:hAnsi="微软雅黑" w:cs="微软雅黑"/>
                <w:szCs w:val="21"/>
              </w:rPr>
            </w:r>
            <w:r/>
          </w:p>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2.5A/5A </w:t>
            </w:r>
            <w:r>
              <w:rPr>
                <w:rFonts w:hint="eastAsia" w:ascii="微软雅黑" w:hAnsi="微软雅黑" w:cs="微软雅黑"/>
                <w:szCs w:val="21"/>
              </w:rPr>
            </w:r>
            <w:r/>
          </w:p>
        </w:tc>
        <w:tc>
          <w:tcPr>
            <w:tcW w:w="2190"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报警1对</w:t>
            </w:r>
            <w:r>
              <w:rPr>
                <w:rFonts w:hint="eastAsia" w:ascii="微软雅黑" w:hAnsi="微软雅黑" w:cs="微软雅黑"/>
                <w:szCs w:val="21"/>
              </w:rPr>
            </w:r>
            <w:r/>
          </w:p>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跳闸1对</w:t>
            </w:r>
            <w:r>
              <w:rPr>
                <w:rFonts w:hint="eastAsia" w:ascii="微软雅黑" w:hAnsi="微软雅黑" w:cs="微软雅黑"/>
                <w:szCs w:val="21"/>
              </w:rPr>
            </w:r>
            <w:r/>
          </w:p>
        </w:tc>
      </w:tr>
    </w:tbl>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3.3.15.2　干式变压器冷却装置。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a）变压器的冷却装置应按负载和温升情况，自动投切。</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b）变压器过负荷及温度异常由变压器温控装置启动风机。</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3.3.16　土建接口</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各制造厂同容量变压器外形差异较大，考虑基础通用要求。变压器应装有底脚，其上应设有安装用的定位孔，孔中心距（横向尺寸）为300、400、550、660、820、1070mm。如对纵向尺寸有要求，也可按横向尺寸数值选取。</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1172210</wp:posOffset>
                </wp:positionH>
                <wp:positionV relativeFrom="paragraph">
                  <wp:posOffset>688975</wp:posOffset>
                </wp:positionV>
                <wp:extent cx="3019425" cy="1524000"/>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019425" cy="152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92.3pt;mso-position-horizontal:absolute;mso-position-vertical-relative:text;margin-top:54.2pt;mso-position-vertical:absolute;width:237.8pt;height:120.0pt;mso-wrap-distance-left:9.0pt;mso-wrap-distance-top:0.0pt;mso-wrap-distance-right:9.0pt;mso-wrap-distance-bottom:0.0pt;" stroked="f">
                <v:path textboxrect="0,0,0,0"/>
                <w10:wrap type="square"/>
                <v:imagedata r:id="rId20" o:title=""/>
              </v:shape>
            </w:pict>
          </mc:Fallback>
        </mc:AlternateContent>
      </w:r>
      <w:r>
        <w:rPr>
          <w:rFonts w:hint="eastAsia" w:ascii="微软雅黑" w:hAnsi="微软雅黑" w:cs="微软雅黑"/>
          <w:szCs w:val="21"/>
        </w:rPr>
        <w:t xml:space="preserve">基础上预埋钢板，变压器底座固定在基础的预埋钢板上，如图2所示。</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320" w:after="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line="440" w:lineRule="exact"/>
        <w:rPr>
          <w:rFonts w:hint="eastAsia" w:ascii="微软雅黑" w:hAnsi="微软雅黑" w:cs="微软雅黑"/>
          <w:szCs w:val="21"/>
        </w:rPr>
      </w:pPr>
      <w:r>
        <w:rPr>
          <w:rFonts w:hint="eastAsia" w:ascii="微软雅黑" w:hAnsi="微软雅黑" w:cs="微软雅黑"/>
          <w:szCs w:val="21"/>
        </w:rPr>
        <w:t xml:space="preserve">图2　箱底支架焊接位置</w:t>
      </w:r>
      <w:r>
        <w:rPr>
          <w:rFonts w:hint="eastAsia" w:ascii="微软雅黑" w:hAnsi="微软雅黑" w:cs="微软雅黑"/>
          <w:b/>
          <w:szCs w:val="21"/>
        </w:rPr>
        <w:t xml:space="preserve">（</w:t>
      </w:r>
      <w:r>
        <w:rPr>
          <w:rFonts w:hint="eastAsia" w:ascii="微软雅黑" w:hAnsi="微软雅黑" w:cs="微软雅黑"/>
          <w:szCs w:val="21"/>
        </w:rPr>
        <w:t xml:space="preserve">长轴方向</w:t>
      </w:r>
      <w:r>
        <w:rPr>
          <w:rFonts w:hint="eastAsia" w:ascii="微软雅黑" w:hAnsi="微软雅黑" w:cs="微软雅黑"/>
          <w:b/>
          <w:szCs w:val="21"/>
        </w:rPr>
        <w:t xml:space="preserve">）</w:t>
      </w:r>
      <w:r>
        <w:rPr>
          <w:rFonts w:hint="eastAsia" w:ascii="微软雅黑" w:hAnsi="微软雅黑" w:cs="微软雅黑"/>
          <w:szCs w:val="21"/>
        </w:rPr>
      </w:r>
      <w:r/>
    </w:p>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注：</w:t>
      </w:r>
      <w:r>
        <w:rPr>
          <w:rFonts w:hint="eastAsia" w:ascii="微软雅黑" w:hAnsi="微软雅黑" w:cs="微软雅黑"/>
          <w:i/>
          <w:szCs w:val="21"/>
        </w:rPr>
        <w:t xml:space="preserve">C</w:t>
      </w:r>
      <w:r>
        <w:rPr>
          <w:rFonts w:hint="eastAsia" w:ascii="微软雅黑" w:hAnsi="微软雅黑" w:cs="微软雅黑"/>
          <w:szCs w:val="21"/>
        </w:rPr>
        <w:t xml:space="preserve">尺寸可按变压器大小选择为200、300、400、550、660、820、1070mm。</w:t>
      </w:r>
      <w:r>
        <w:rPr>
          <w:rFonts w:hint="eastAsia" w:ascii="微软雅黑" w:hAnsi="微软雅黑" w:cs="微软雅黑"/>
          <w:szCs w:val="21"/>
        </w:rPr>
      </w:r>
      <w:r/>
    </w:p>
    <w:p>
      <w:pPr>
        <w:pStyle w:val="1044"/>
        <w:numPr>
          <w:ilvl w:val="0"/>
          <w:numId w:val="10"/>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技术参数要求</w:t>
      </w:r>
      <w:r>
        <w:rPr>
          <w:rFonts w:hint="eastAsia" w:ascii="微软雅黑" w:hAnsi="微软雅黑" w:cs="微软雅黑"/>
          <w:b/>
          <w:szCs w:val="21"/>
        </w:rPr>
      </w:r>
      <w:r/>
    </w:p>
    <w:p>
      <w:pPr>
        <w:pStyle w:val="1044"/>
        <w:ind w:firstLine="424"/>
        <w:spacing w:line="440" w:lineRule="exact"/>
        <w:rPr>
          <w:rFonts w:hint="eastAsia" w:ascii="微软雅黑" w:hAnsi="微软雅黑" w:cs="微软雅黑"/>
          <w:szCs w:val="21"/>
        </w:rPr>
      </w:pPr>
      <w:r>
        <w:rPr>
          <w:rFonts w:hint="eastAsia" w:ascii="微软雅黑" w:hAnsi="微软雅黑" w:cs="微软雅黑"/>
          <w:szCs w:val="21"/>
        </w:rPr>
        <w:t xml:space="preserve">技术参数特性表是对采购设备的基础技术参数要求，投标人应对技术参数特性表中标准参数值进行响应。10kV三相干式变压器技术参数特性见表2。</w:t>
      </w:r>
      <w:r>
        <w:rPr>
          <w:rFonts w:hint="eastAsia" w:ascii="微软雅黑" w:hAnsi="微软雅黑" w:cs="微软雅黑"/>
          <w:szCs w:val="21"/>
        </w:rPr>
      </w:r>
      <w:r/>
    </w:p>
    <w:p>
      <w:pPr>
        <w:pStyle w:val="1044"/>
        <w:jc w:val="center"/>
        <w:spacing w:before="160" w:after="60" w:line="440" w:lineRule="exact"/>
        <w:rPr>
          <w:rFonts w:hint="eastAsia" w:ascii="微软雅黑" w:hAnsi="微软雅黑" w:cs="微软雅黑"/>
          <w:szCs w:val="21"/>
        </w:rPr>
      </w:pPr>
      <w:r>
        <w:rPr>
          <w:rFonts w:hint="eastAsia" w:ascii="微软雅黑" w:hAnsi="微软雅黑" w:cs="微软雅黑"/>
          <w:szCs w:val="21"/>
        </w:rPr>
        <w:t xml:space="preserve">表2　</w:t>
      </w:r>
      <w:r>
        <w:rPr>
          <w:rFonts w:hint="eastAsia" w:ascii="微软雅黑" w:hAnsi="微软雅黑" w:cs="微软雅黑"/>
          <w:spacing w:val="30"/>
          <w:szCs w:val="21"/>
        </w:rPr>
        <w:t xml:space="preserve">技术参数特性</w:t>
      </w:r>
      <w:r>
        <w:rPr>
          <w:rFonts w:hint="eastAsia" w:ascii="微软雅黑" w:hAnsi="微软雅黑" w:cs="微软雅黑"/>
          <w:szCs w:val="21"/>
        </w:rPr>
        <w:t xml:space="preserve">表</w:t>
      </w:r>
      <w:r>
        <w:rPr>
          <w:rFonts w:hint="eastAsia" w:ascii="微软雅黑" w:hAnsi="微软雅黑" w:cs="微软雅黑"/>
          <w:szCs w:val="21"/>
        </w:rPr>
      </w:r>
      <w:r/>
    </w:p>
    <w:tbl>
      <w:tblPr>
        <w:tblW w:w="9412"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4545"/>
        <w:gridCol w:w="984"/>
        <w:gridCol w:w="3035"/>
      </w:tblGrid>
      <w:tr>
        <w:trPr>
          <w:tblHeader/>
        </w:trPr>
        <w:tc>
          <w:tcPr>
            <w:tcW w:w="84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4545"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名　　称</w:t>
            </w:r>
            <w:r>
              <w:rPr>
                <w:rFonts w:hint="eastAsia" w:ascii="微软雅黑" w:hAnsi="微软雅黑" w:cs="微软雅黑"/>
                <w:szCs w:val="21"/>
              </w:rPr>
            </w:r>
            <w:r/>
          </w:p>
        </w:tc>
        <w:tc>
          <w:tcPr>
            <w:tcW w:w="984"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单位</w:t>
            </w:r>
            <w:r>
              <w:rPr>
                <w:rFonts w:hint="eastAsia" w:ascii="微软雅黑" w:hAnsi="微软雅黑" w:cs="微软雅黑"/>
                <w:szCs w:val="21"/>
              </w:rPr>
            </w:r>
            <w:r/>
          </w:p>
        </w:tc>
        <w:tc>
          <w:tcPr>
            <w:tcW w:w="3035"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标准参数值</w:t>
            </w:r>
            <w:r>
              <w:rPr>
                <w:rFonts w:hint="eastAsia" w:ascii="微软雅黑" w:hAnsi="微软雅黑" w:cs="微软雅黑"/>
                <w:szCs w:val="21"/>
              </w:rPr>
            </w:r>
            <w:r/>
          </w:p>
        </w:tc>
      </w:tr>
      <w:tr>
        <w:trPr/>
        <w:tc>
          <w:tcPr>
            <w:tcW w:w="848"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一</w:t>
            </w:r>
            <w:r>
              <w:rPr>
                <w:rFonts w:hint="eastAsia" w:ascii="微软雅黑" w:hAnsi="微软雅黑" w:cs="微软雅黑"/>
                <w:color w:val="000000"/>
                <w:szCs w:val="21"/>
              </w:rPr>
            </w:r>
            <w:r/>
          </w:p>
        </w:tc>
        <w:tc>
          <w:tcPr>
            <w:gridSpan w:val="3"/>
            <w:tcW w:w="8564"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额定值</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变压器型号</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台</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SCB14-800/10</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铁心材质</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套</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80" w:after="8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硅钢片</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高压绕组</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低压绕组</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0.4</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联结组</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35" w:type="dxa"/>
            <w:vAlign w:val="center"/>
            <w:textDirection w:val="lrTb"/>
            <w:noWrap w:val="false"/>
          </w:tcPr>
          <w:p>
            <w:pPr>
              <w:pStyle w:val="1044"/>
              <w:ind w:firstLine="420"/>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Dyn11</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额定频率</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Hz</w:t>
            </w:r>
            <w:r>
              <w:rPr>
                <w:rFonts w:hint="eastAsia" w:ascii="微软雅黑" w:hAnsi="微软雅黑" w:cs="微软雅黑"/>
                <w:color w:val="000000"/>
                <w:szCs w:val="21"/>
              </w:rPr>
            </w:r>
            <w:r/>
          </w:p>
        </w:tc>
        <w:tc>
          <w:tcPr>
            <w:tcW w:w="3035" w:type="dxa"/>
            <w:vAlign w:val="center"/>
            <w:textDirection w:val="lrTb"/>
            <w:noWrap w:val="false"/>
          </w:tcPr>
          <w:p>
            <w:pPr>
              <w:pStyle w:val="1044"/>
              <w:ind w:firstLine="420"/>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50Hz</w:t>
            </w:r>
            <w:r>
              <w:rPr>
                <w:rFonts w:hint="eastAsia" w:ascii="微软雅黑" w:hAnsi="微软雅黑" w:cs="微软雅黑"/>
                <w:color w:val="000000"/>
                <w:szCs w:val="21"/>
              </w:rPr>
            </w:r>
            <w:r/>
          </w:p>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额定容量</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kVA</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800</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相数</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9</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调压范围</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±2×2.5%</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二</w:t>
            </w:r>
            <w:r>
              <w:rPr>
                <w:rFonts w:hint="eastAsia" w:ascii="微软雅黑" w:hAnsi="微软雅黑" w:cs="微软雅黑"/>
                <w:color w:val="000000"/>
                <w:szCs w:val="21"/>
              </w:rPr>
            </w:r>
            <w:r/>
          </w:p>
        </w:tc>
        <w:tc>
          <w:tcPr>
            <w:gridSpan w:val="3"/>
            <w:tcW w:w="856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空载损耗</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额定频率额定电压时空载损耗</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kW</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见附表1</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三</w:t>
            </w:r>
            <w:r>
              <w:rPr>
                <w:rFonts w:hint="eastAsia" w:ascii="微软雅黑" w:hAnsi="微软雅黑" w:cs="微软雅黑"/>
                <w:color w:val="000000"/>
                <w:szCs w:val="21"/>
              </w:rPr>
            </w:r>
            <w:r/>
          </w:p>
        </w:tc>
        <w:tc>
          <w:tcPr>
            <w:gridSpan w:val="3"/>
            <w:tcW w:w="856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空载电流</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100%额定电压时</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见附表1</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四</w:t>
            </w:r>
            <w:r>
              <w:rPr>
                <w:rFonts w:hint="eastAsia" w:ascii="微软雅黑" w:hAnsi="微软雅黑" w:cs="微软雅黑"/>
                <w:color w:val="000000"/>
                <w:szCs w:val="21"/>
              </w:rPr>
            </w:r>
            <w:r/>
          </w:p>
        </w:tc>
        <w:tc>
          <w:tcPr>
            <w:gridSpan w:val="3"/>
            <w:tcW w:w="856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负载损耗</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主分接（</w:t>
            </w:r>
            <w:r>
              <w:rPr>
                <w:rFonts w:hint="eastAsia" w:ascii="微软雅黑" w:hAnsi="微软雅黑" w:cs="微软雅黑"/>
                <w:color w:val="000000"/>
                <w:spacing w:val="-8"/>
                <w:szCs w:val="21"/>
              </w:rPr>
              <w:t xml:space="preserve">120℃</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kW</w:t>
            </w: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见附表1</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五</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噪声水平</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pacing w:val="-4"/>
                <w:szCs w:val="21"/>
              </w:rPr>
            </w:pPr>
            <w:r>
              <w:rPr>
                <w:rFonts w:hint="eastAsia" w:ascii="微软雅黑" w:hAnsi="微软雅黑" w:cs="微软雅黑"/>
                <w:color w:val="000000"/>
                <w:spacing w:val="-4"/>
                <w:szCs w:val="21"/>
              </w:rPr>
              <w:t xml:space="preserve">dB</w:t>
            </w:r>
            <w:r>
              <w:rPr>
                <w:rFonts w:hint="eastAsia" w:ascii="微软雅黑" w:hAnsi="微软雅黑" w:cs="微软雅黑"/>
                <w:color w:val="000000"/>
                <w:spacing w:val="-4"/>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见附表1</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六</w:t>
            </w:r>
            <w:r>
              <w:rPr>
                <w:rFonts w:hint="eastAsia" w:ascii="微软雅黑" w:hAnsi="微软雅黑" w:cs="微软雅黑"/>
                <w:color w:val="000000"/>
                <w:szCs w:val="21"/>
              </w:rPr>
            </w:r>
            <w:r/>
          </w:p>
        </w:tc>
        <w:tc>
          <w:tcPr>
            <w:gridSpan w:val="3"/>
            <w:tcW w:w="856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质量和尺寸</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七</w:t>
            </w:r>
            <w:r>
              <w:rPr>
                <w:rFonts w:hint="eastAsia" w:ascii="微软雅黑" w:hAnsi="微软雅黑" w:cs="微软雅黑"/>
                <w:color w:val="000000"/>
                <w:szCs w:val="21"/>
              </w:rPr>
            </w:r>
            <w:r/>
          </w:p>
        </w:tc>
        <w:tc>
          <w:tcPr>
            <w:gridSpan w:val="3"/>
            <w:tcW w:w="856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变压器外壳</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结构材料</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不锈钢</w:t>
            </w:r>
            <w:r>
              <w:rPr>
                <w:rFonts w:hint="eastAsia" w:ascii="微软雅黑" w:hAnsi="微软雅黑" w:cs="微软雅黑"/>
                <w:color w:val="000000"/>
                <w:szCs w:val="21"/>
              </w:rPr>
            </w:r>
            <w:r/>
          </w:p>
        </w:tc>
      </w:tr>
      <w:tr>
        <w:trPr/>
        <w:tc>
          <w:tcPr>
            <w:tcW w:w="848"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W w:w="454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进出线方式</w:t>
            </w:r>
            <w:r>
              <w:rPr>
                <w:rFonts w:hint="eastAsia" w:ascii="微软雅黑" w:hAnsi="微软雅黑" w:cs="微软雅黑"/>
                <w:color w:val="000000"/>
                <w:szCs w:val="21"/>
              </w:rPr>
            </w:r>
            <w:r/>
          </w:p>
        </w:tc>
        <w:tc>
          <w:tcPr>
            <w:tcW w:w="984"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35" w:type="dxa"/>
            <w:vAlign w:val="center"/>
            <w:textDirection w:val="lrTb"/>
            <w:noWrap w:val="false"/>
          </w:tcPr>
          <w:p>
            <w:pPr>
              <w:pStyle w:val="1044"/>
              <w:jc w:val="center"/>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下进上出/下进侧出</w:t>
            </w:r>
            <w:r>
              <w:rPr>
                <w:rFonts w:hint="eastAsia" w:ascii="微软雅黑" w:hAnsi="微软雅黑" w:cs="微软雅黑"/>
                <w:color w:val="000000"/>
                <w:szCs w:val="21"/>
              </w:rPr>
            </w:r>
            <w:r/>
          </w:p>
        </w:tc>
      </w:tr>
      <w:tr>
        <w:trPr/>
        <w:tc>
          <w:tcPr>
            <w:gridSpan w:val="4"/>
            <w:tcW w:w="9412" w:type="dxa"/>
            <w:vAlign w:val="center"/>
            <w:textDirection w:val="lrTb"/>
            <w:noWrap w:val="false"/>
          </w:tcPr>
          <w:p>
            <w:pPr>
              <w:pStyle w:val="1044"/>
              <w:ind w:firstLine="180"/>
              <w:spacing w:before="70" w:after="7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注：附表1是本表的补充部分。</w:t>
            </w:r>
            <w:r>
              <w:rPr>
                <w:rFonts w:hint="eastAsia" w:ascii="微软雅黑" w:hAnsi="微软雅黑" w:cs="微软雅黑"/>
                <w:color w:val="000000"/>
                <w:szCs w:val="21"/>
              </w:rPr>
            </w:r>
            <w:r/>
          </w:p>
        </w:tc>
      </w:tr>
    </w:tbl>
    <w:p>
      <w:pPr>
        <w:pStyle w:val="1044"/>
        <w:jc w:val="center"/>
        <w:spacing w:before="160" w:after="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160" w:after="60" w:line="440" w:lineRule="exact"/>
        <w:rPr>
          <w:rFonts w:hint="eastAsia" w:ascii="微软雅黑" w:hAnsi="微软雅黑" w:cs="微软雅黑"/>
          <w:szCs w:val="21"/>
        </w:rPr>
      </w:pPr>
      <w:r>
        <w:rPr>
          <w:rFonts w:hint="eastAsia" w:ascii="微软雅黑" w:hAnsi="微软雅黑" w:cs="微软雅黑"/>
          <w:szCs w:val="21"/>
        </w:rPr>
        <w:t xml:space="preserve">附表1</w:t>
      </w:r>
      <w:r>
        <w:rPr>
          <w:rFonts w:hint="eastAsia" w:ascii="微软雅黑" w:hAnsi="微软雅黑" w:cs="微软雅黑"/>
          <w:szCs w:val="21"/>
        </w:rPr>
      </w:r>
      <w:r/>
    </w:p>
    <w:tbl>
      <w:tblPr>
        <w:tblW w:w="10413"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764"/>
        <w:gridCol w:w="992"/>
        <w:gridCol w:w="851"/>
        <w:gridCol w:w="992"/>
        <w:gridCol w:w="992"/>
        <w:gridCol w:w="992"/>
        <w:gridCol w:w="992"/>
        <w:gridCol w:w="992"/>
        <w:gridCol w:w="1065"/>
        <w:gridCol w:w="982"/>
      </w:tblGrid>
      <w:tr>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变压器</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容量</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（kVA）</w:t>
            </w:r>
            <w:r>
              <w:rPr>
                <w:rFonts w:hint="eastAsia" w:ascii="微软雅黑" w:hAnsi="微软雅黑" w:eastAsia="微软雅黑" w:cs="微软雅黑"/>
                <w:sz w:val="21"/>
                <w:szCs w:val="21"/>
              </w:rPr>
            </w:r>
            <w:r/>
          </w:p>
        </w:tc>
        <w:tc>
          <w:tcPr>
            <w:tcW w:w="764"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高压</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（kV）</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高压分接</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范围</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851"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低压</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（kV）</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联结组</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标号</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空载损耗</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（kW）</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负载损耗</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（kW）</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空载电流</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短路阻抗</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轨距A×B（mm×mm）</w:t>
            </w:r>
            <w:r>
              <w:rPr>
                <w:rFonts w:hint="eastAsia" w:ascii="微软雅黑" w:hAnsi="微软雅黑" w:eastAsia="微软雅黑" w:cs="微软雅黑"/>
                <w:sz w:val="21"/>
                <w:szCs w:val="21"/>
              </w:rPr>
            </w:r>
            <w:r/>
          </w:p>
        </w:tc>
        <w:tc>
          <w:tcPr>
            <w:tcW w:w="98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噪声水平（dB）</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30</w:t>
            </w:r>
            <w:r>
              <w:rPr>
                <w:rFonts w:hint="eastAsia" w:ascii="微软雅黑" w:hAnsi="微软雅黑" w:eastAsia="微软雅黑" w:cs="微软雅黑"/>
                <w:sz w:val="21"/>
                <w:szCs w:val="21"/>
              </w:rPr>
            </w:r>
            <w:r/>
          </w:p>
        </w:tc>
        <w:tc>
          <w:tcPr>
            <w:tcW w:w="764" w:type="dxa"/>
            <w:vAlign w:val="center"/>
            <w:vMerge w:val="restart"/>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10.5</w:t>
            </w:r>
            <w:r>
              <w:rPr>
                <w:rFonts w:hint="eastAsia" w:ascii="微软雅黑" w:hAnsi="微软雅黑" w:eastAsia="微软雅黑" w:cs="微软雅黑"/>
                <w:sz w:val="21"/>
                <w:szCs w:val="21"/>
              </w:rPr>
            </w:r>
            <w:r/>
          </w:p>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restart"/>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±2×2.5</w:t>
            </w:r>
            <w:r>
              <w:rPr>
                <w:rFonts w:hint="eastAsia" w:ascii="微软雅黑" w:hAnsi="微软雅黑" w:eastAsia="微软雅黑" w:cs="微软雅黑"/>
                <w:sz w:val="21"/>
                <w:szCs w:val="21"/>
              </w:rPr>
            </w:r>
            <w:r/>
          </w:p>
        </w:tc>
        <w:tc>
          <w:tcPr>
            <w:tcW w:w="851" w:type="dxa"/>
            <w:vAlign w:val="center"/>
            <w:vMerge w:val="restart"/>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0.4</w:t>
            </w:r>
            <w:r>
              <w:rPr>
                <w:rFonts w:hint="eastAsia" w:ascii="微软雅黑" w:hAnsi="微软雅黑" w:eastAsia="微软雅黑" w:cs="微软雅黑"/>
                <w:sz w:val="21"/>
                <w:szCs w:val="21"/>
              </w:rPr>
            </w:r>
            <w:r/>
          </w:p>
        </w:tc>
        <w:tc>
          <w:tcPr>
            <w:tcW w:w="992" w:type="dxa"/>
            <w:vAlign w:val="center"/>
            <w:vMerge w:val="restart"/>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D,yn11</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0.17</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0.71</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2.5</w:t>
            </w:r>
            <w:r>
              <w:rPr>
                <w:rFonts w:hint="eastAsia" w:ascii="微软雅黑" w:hAnsi="微软雅黑" w:eastAsia="微软雅黑" w:cs="微软雅黑"/>
                <w:sz w:val="21"/>
                <w:szCs w:val="21"/>
              </w:rPr>
            </w:r>
            <w:r/>
          </w:p>
        </w:tc>
        <w:tc>
          <w:tcPr>
            <w:tcW w:w="992" w:type="dxa"/>
            <w:vAlign w:val="center"/>
            <w:vMerge w:val="restart"/>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4.0</w:t>
            </w: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550×550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≤52</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0.24</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2.4</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550×550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≤53</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0.36</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1.57</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1.8</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550×550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160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0.48</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2.13</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1.6</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550×550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≤59</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0.55</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2.53</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1.4</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660×550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≤61</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250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0.64</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2.76</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1.4</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660×550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≤61</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315</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0.79</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3.47</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660×660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400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0.88</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3.99</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660×660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500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1.04</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4.88</w:t>
            </w:r>
            <w:r>
              <w:rPr>
                <w:rFonts w:hint="eastAsia" w:ascii="微软雅黑" w:hAnsi="微软雅黑" w:eastAsia="微软雅黑" w:cs="微软雅黑"/>
                <w:sz w:val="21"/>
                <w:szCs w:val="21"/>
              </w:rPr>
            </w:r>
            <w:r/>
          </w:p>
        </w:tc>
        <w:tc>
          <w:tcPr>
            <w:tcW w:w="992"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660×660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630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1.17</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5.96</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992" w:type="dxa"/>
            <w:vAlign w:val="center"/>
            <w:vMerge w:val="restart"/>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6.0</w:t>
            </w: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820×820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800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1.36</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6.96</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820×820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≤68</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1000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1.59</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8.13</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820×820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≤68</w:t>
            </w:r>
            <w:r>
              <w:rPr>
                <w:rFonts w:hint="eastAsia" w:ascii="微软雅黑" w:hAnsi="微软雅黑" w:eastAsia="微软雅黑" w:cs="微软雅黑"/>
                <w:sz w:val="21"/>
                <w:szCs w:val="21"/>
              </w:rPr>
            </w:r>
            <w:r/>
          </w:p>
        </w:tc>
      </w:tr>
      <w:tr>
        <w:trPr>
          <w:cantSplit/>
        </w:trPr>
        <w:tc>
          <w:tcPr>
            <w:tcW w:w="799"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1250</w:t>
            </w:r>
            <w:r>
              <w:rPr>
                <w:rFonts w:hint="eastAsia" w:ascii="微软雅黑" w:hAnsi="微软雅黑" w:eastAsia="微软雅黑" w:cs="微软雅黑"/>
                <w:sz w:val="21"/>
                <w:szCs w:val="21"/>
              </w:rPr>
            </w:r>
            <w:r/>
          </w:p>
        </w:tc>
        <w:tc>
          <w:tcPr>
            <w:tcW w:w="764"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851"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1.88</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9.69</w:t>
            </w:r>
            <w:r>
              <w:rPr>
                <w:rFonts w:hint="eastAsia" w:ascii="微软雅黑" w:hAnsi="微软雅黑" w:eastAsia="微软雅黑" w:cs="微软雅黑"/>
                <w:sz w:val="21"/>
                <w:szCs w:val="21"/>
              </w:rPr>
            </w:r>
            <w:r/>
          </w:p>
        </w:tc>
        <w:tc>
          <w:tcPr>
            <w:tcW w:w="99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992" w:type="dxa"/>
            <w:vAlign w:val="center"/>
            <w:vMerge w:val="continue"/>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065" w:type="dxa"/>
            <w:vAlign w:val="center"/>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1070×820</w:t>
            </w:r>
            <w:r>
              <w:rPr>
                <w:rFonts w:hint="eastAsia" w:ascii="微软雅黑" w:hAnsi="微软雅黑" w:eastAsia="微软雅黑" w:cs="微软雅黑"/>
                <w:sz w:val="21"/>
                <w:szCs w:val="21"/>
              </w:rPr>
            </w:r>
            <w:r/>
          </w:p>
        </w:tc>
        <w:tc>
          <w:tcPr>
            <w:tcW w:w="982" w:type="dxa"/>
            <w:vAlign w:val="top"/>
            <w:textDirection w:val="lrTb"/>
            <w:noWrap w:val="false"/>
          </w:tcPr>
          <w:p>
            <w:pPr>
              <w:pStyle w:val="1044"/>
              <w:jc w:val="center"/>
              <w:spacing w:before="40" w:after="40"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≤72</w:t>
            </w:r>
            <w:r>
              <w:rPr>
                <w:rFonts w:hint="eastAsia" w:ascii="微软雅黑" w:hAnsi="微软雅黑" w:eastAsia="微软雅黑" w:cs="微软雅黑"/>
                <w:sz w:val="21"/>
                <w:szCs w:val="21"/>
              </w:rPr>
            </w:r>
            <w:r/>
          </w:p>
        </w:tc>
      </w:tr>
    </w:tbl>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numPr>
          <w:ilvl w:val="0"/>
          <w:numId w:val="10"/>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试验要求</w:t>
      </w:r>
      <w:r>
        <w:rPr>
          <w:rFonts w:hint="eastAsia" w:ascii="微软雅黑" w:hAnsi="微软雅黑" w:cs="微软雅黑"/>
          <w:b/>
          <w:szCs w:val="21"/>
        </w:rPr>
      </w:r>
      <w:r/>
    </w:p>
    <w:p>
      <w:pPr>
        <w:pStyle w:val="1044"/>
        <w:spacing w:before="159" w:after="159" w:line="440" w:lineRule="exact"/>
        <w:rPr>
          <w:rFonts w:hint="eastAsia" w:ascii="微软雅黑" w:hAnsi="微软雅黑" w:cs="微软雅黑"/>
          <w:szCs w:val="21"/>
        </w:rPr>
      </w:pPr>
      <w:r/>
      <w:bookmarkStart w:id="156" w:name="_Toc156016651"/>
      <w:r/>
      <w:bookmarkStart w:id="157" w:name="_Toc252017386"/>
      <w:r/>
      <w:bookmarkStart w:id="158" w:name="_Toc257408707"/>
      <w:r/>
      <w:bookmarkStart w:id="159" w:name="_Toc165125337"/>
      <w:r>
        <w:rPr>
          <w:rFonts w:hint="eastAsia" w:ascii="微软雅黑" w:hAnsi="微软雅黑" w:cs="微软雅黑"/>
          <w:szCs w:val="21"/>
        </w:rPr>
        <w:t xml:space="preserve">5.1　型式试验</w:t>
      </w:r>
      <w:bookmarkEnd w:id="156"/>
      <w:r/>
      <w:bookmarkEnd w:id="157"/>
      <w:r/>
      <w:bookmarkEnd w:id="158"/>
      <w:r/>
      <w:bookmarkEnd w:id="159"/>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应符合GB1094、GB/T 10228、GB/T 22072、GB/T 25446、GB/T6451及GB311.1的要求。</w:t>
      </w:r>
      <w:bookmarkStart w:id="160" w:name="_Toc240857788"/>
      <w:r>
        <w:rPr>
          <w:rFonts w:hint="eastAsia" w:ascii="微软雅黑" w:hAnsi="微软雅黑" w:cs="微软雅黑"/>
          <w:szCs w:val="21"/>
        </w:rPr>
        <w:t xml:space="preserve">型式试验有效期按照GB/T 1094.1执行。</w:t>
      </w:r>
      <w:r>
        <w:rPr>
          <w:rFonts w:hint="eastAsia" w:ascii="微软雅黑" w:hAnsi="微软雅黑" w:cs="微软雅黑"/>
          <w:szCs w:val="21"/>
        </w:rPr>
      </w:r>
      <w:r/>
    </w:p>
    <w:p>
      <w:pPr>
        <w:pStyle w:val="1044"/>
        <w:spacing w:before="159" w:after="159" w:line="440" w:lineRule="exact"/>
        <w:rPr>
          <w:rFonts w:hint="eastAsia" w:ascii="微软雅黑" w:hAnsi="微软雅黑" w:cs="微软雅黑"/>
          <w:szCs w:val="21"/>
        </w:rPr>
      </w:pPr>
      <w:r/>
      <w:bookmarkStart w:id="161" w:name="_Toc252017387"/>
      <w:r/>
      <w:bookmarkStart w:id="162" w:name="_Toc257408708"/>
      <w:r>
        <w:rPr>
          <w:rFonts w:hint="eastAsia" w:ascii="微软雅黑" w:hAnsi="微软雅黑" w:cs="微软雅黑"/>
          <w:szCs w:val="21"/>
        </w:rPr>
        <w:t xml:space="preserve">5.2　出厂试验</w:t>
      </w:r>
      <w:bookmarkEnd w:id="160"/>
      <w:r/>
      <w:bookmarkEnd w:id="161"/>
      <w:r/>
      <w:bookmarkEnd w:id="162"/>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a）绕组直流电阻互差：线间小于2%，相间小于4%（在引出线套管端部测量）。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b）电压比误差：主分接小于0.5%，其他分接小于0.5%。</w:t>
      </w:r>
      <w:r>
        <w:rPr>
          <w:rFonts w:hint="eastAsia" w:ascii="微软雅黑" w:hAnsi="微软雅黑" w:cs="微软雅黑"/>
          <w:szCs w:val="21"/>
        </w:rPr>
      </w:r>
      <w:r/>
    </w:p>
    <w:p>
      <w:pPr>
        <w:pStyle w:val="1044"/>
        <w:ind w:left="688" w:hanging="287"/>
        <w:spacing w:line="440" w:lineRule="exact"/>
        <w:rPr>
          <w:rFonts w:hint="eastAsia" w:ascii="微软雅黑" w:hAnsi="微软雅黑" w:cs="微软雅黑"/>
          <w:szCs w:val="21"/>
        </w:rPr>
      </w:pPr>
      <w:r>
        <w:rPr>
          <w:rFonts w:hint="eastAsia" w:ascii="微软雅黑" w:hAnsi="微软雅黑" w:cs="微软雅黑"/>
          <w:szCs w:val="21"/>
        </w:rPr>
        <w:t xml:space="preserve">c）绝缘电阻：用2500V绝缘电阻表，高压绕组不小于10000MΩ，其他绕组不小于5000MΩ。</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d）局部放电测试（适用于干式变压器）。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e）工频耐压试验。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f）</w:t>
      </w:r>
      <w:r>
        <w:rPr>
          <w:rFonts w:hint="eastAsia" w:ascii="微软雅黑" w:hAnsi="微软雅黑" w:cs="微软雅黑"/>
          <w:szCs w:val="21"/>
        </w:rPr>
        <w:tab/>
      </w:r>
      <w:r>
        <w:rPr>
          <w:rFonts w:hint="eastAsia" w:ascii="微软雅黑" w:hAnsi="微软雅黑" w:cs="微软雅黑"/>
          <w:szCs w:val="21"/>
        </w:rPr>
        <w:t xml:space="preserve">感应耐压试验。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g）空载电流及空载损耗测试。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h）短路阻抗及负载损耗测试。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w:t>
      </w:r>
      <w:r>
        <w:rPr>
          <w:rFonts w:hint="eastAsia" w:ascii="微软雅黑" w:hAnsi="微软雅黑" w:cs="微软雅黑"/>
          <w:szCs w:val="21"/>
        </w:rPr>
        <w:tab/>
      </w:r>
      <w:r>
        <w:rPr>
          <w:rFonts w:hint="eastAsia" w:ascii="微软雅黑" w:hAnsi="微软雅黑" w:cs="微软雅黑"/>
          <w:szCs w:val="21"/>
        </w:rPr>
        <w:t xml:space="preserve">绝缘油试验。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w:t>
      </w:r>
      <w:r>
        <w:rPr>
          <w:rFonts w:hint="eastAsia" w:ascii="微软雅黑" w:hAnsi="微软雅黑" w:cs="微软雅黑"/>
          <w:szCs w:val="21"/>
        </w:rPr>
        <w:tab/>
      </w:r>
      <w:r>
        <w:rPr>
          <w:rFonts w:hint="eastAsia" w:ascii="微软雅黑" w:hAnsi="微软雅黑" w:cs="微软雅黑"/>
          <w:szCs w:val="21"/>
        </w:rPr>
        <w:t xml:space="preserve">噪声测试。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k）附件和主要材料的试验。</w:t>
      </w:r>
      <w:r>
        <w:rPr>
          <w:rFonts w:hint="eastAsia" w:ascii="微软雅黑" w:hAnsi="微软雅黑" w:cs="微软雅黑"/>
          <w:szCs w:val="21"/>
        </w:rPr>
      </w:r>
      <w:r/>
    </w:p>
    <w:p>
      <w:pPr>
        <w:pStyle w:val="1044"/>
        <w:spacing w:line="440" w:lineRule="exact"/>
        <w:rPr>
          <w:rFonts w:hint="eastAsia" w:ascii="微软雅黑" w:hAnsi="微软雅黑" w:cs="微软雅黑"/>
          <w:b/>
          <w:szCs w:val="21"/>
        </w:rPr>
      </w:pPr>
      <w:r>
        <w:rPr>
          <w:rFonts w:hint="eastAsia" w:ascii="微软雅黑" w:hAnsi="微软雅黑" w:cs="微软雅黑"/>
          <w:b/>
          <w:szCs w:val="21"/>
        </w:rPr>
        <w:t xml:space="preserve">6.包装与运输要求</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(1)中标方应对设备的包装和运输到合同交货地负责。</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(2)中标方应以任何运输过程中都能保护设备不受到损坏的方式而设计和准备包装。且外包装应明确标明（但不限于）中标方名称、收货单位、项目名称。</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(3)运输中应注意装、卸，不能损坏包装或使产品变形、损坏。</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(4)包装应有足够的强度能在短途搬运、设备储存和装车、装船中承受较大冲击而不会散包。</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(5)在设备交付时应有包装清单。</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b/>
          <w:szCs w:val="21"/>
        </w:rPr>
        <w:t xml:space="preserve">7.质量验收要求</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(1)采购人有权对正在制造或制造完毕的产品选择一定数量进行抽查测试，检测产品质量或验证供应商试验的真实性，投标人应配合采购人做好抽查测试。</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pPr>
      <w:r>
        <w:rPr>
          <w:rFonts w:hint="eastAsia" w:ascii="微软雅黑" w:hAnsi="微软雅黑" w:cs="微软雅黑"/>
          <w:szCs w:val="21"/>
        </w:rPr>
        <w:t xml:space="preserve">(2)若有合同物资经检验和抽检不符合本技术规范的要求，采购人可以拒收，相关损失由供应商自行承担。</w:t>
      </w:r>
      <w:r>
        <w:rPr>
          <w:rFonts w:hint="eastAsia" w:ascii="微软雅黑" w:hAnsi="微软雅黑" w:cs="微软雅黑"/>
          <w:b/>
          <w:szCs w:val="21"/>
        </w:rPr>
      </w:r>
      <w:r/>
    </w:p>
    <w:p>
      <w:pPr>
        <w:pStyle w:val="1065"/>
        <w:spacing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(3)采购人与中标人双方联合进行到样后的包装外观检查。</w:t>
      </w:r>
      <w:r>
        <w:rPr>
          <w:rFonts w:hint="eastAsia" w:ascii="微软雅黑" w:hAnsi="微软雅黑" w:eastAsia="微软雅黑" w:cs="微软雅黑"/>
          <w:sz w:val="21"/>
          <w:szCs w:val="21"/>
        </w:rPr>
      </w:r>
      <w:r/>
    </w:p>
    <w:p>
      <w:pPr>
        <w:pStyle w:val="1044"/>
        <w:spacing w:line="56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附件</w:t>
      </w:r>
      <w:r>
        <w:rPr>
          <w:rFonts w:hint="eastAsia" w:ascii="微软雅黑" w:hAnsi="微软雅黑" w:cs="微软雅黑"/>
          <w:szCs w:val="21"/>
          <w:lang w:val="en-US" w:eastAsia="zh-CN"/>
        </w:rPr>
        <w:t xml:space="preserve">三</w:t>
      </w:r>
      <w:r>
        <w:rPr>
          <w:rFonts w:hint="eastAsia" w:ascii="微软雅黑" w:hAnsi="微软雅黑" w:cs="微软雅黑"/>
          <w:szCs w:val="21"/>
        </w:rPr>
        <w:t xml:space="preserve">、医科大学环网柜-技术规范书</w:t>
      </w:r>
      <w:r>
        <w:rPr>
          <w:rFonts w:hint="eastAsia" w:ascii="微软雅黑" w:hAnsi="微软雅黑" w:cs="微软雅黑"/>
          <w:szCs w:val="21"/>
        </w:rPr>
      </w:r>
      <w:r/>
    </w:p>
    <w:p>
      <w:pPr>
        <w:pStyle w:val="1044"/>
        <w:jc w:val="center"/>
        <w:spacing w:line="560" w:lineRule="exact"/>
        <w:rPr>
          <w:rFonts w:hint="eastAsia" w:eastAsia="方正小标宋_GBK"/>
          <w:sz w:val="44"/>
          <w:szCs w:val="44"/>
        </w:rPr>
      </w:pPr>
      <w:r>
        <w:rPr>
          <w:rFonts w:hint="eastAsia" w:eastAsia="方正小标宋_GBK"/>
          <w:sz w:val="44"/>
          <w:szCs w:val="44"/>
        </w:rPr>
      </w:r>
      <w:r/>
    </w:p>
    <w:p>
      <w:pPr>
        <w:pStyle w:val="1044"/>
        <w:jc w:val="center"/>
        <w:spacing w:line="560" w:lineRule="exact"/>
        <w:rPr>
          <w:rFonts w:eastAsia="方正小标宋_GBK"/>
          <w:sz w:val="44"/>
          <w:szCs w:val="44"/>
        </w:rPr>
      </w:pPr>
      <w:r>
        <w:rPr>
          <w:rFonts w:hint="eastAsia" w:eastAsia="方正小标宋_GBK"/>
          <w:sz w:val="44"/>
          <w:szCs w:val="44"/>
        </w:rPr>
        <w:t xml:space="preserve">技术规范书</w:t>
      </w:r>
      <w:r>
        <w:rPr>
          <w:rFonts w:eastAsia="方正小标宋_GBK"/>
          <w:sz w:val="44"/>
          <w:szCs w:val="44"/>
        </w:rPr>
      </w:r>
      <w:r/>
    </w:p>
    <w:p>
      <w:pPr>
        <w:pStyle w:val="1044"/>
        <w:numPr>
          <w:ilvl w:val="0"/>
          <w:numId w:val="11"/>
        </w:numPr>
        <w:keepLines/>
        <w:keepNext/>
        <w:spacing w:line="440" w:lineRule="exact"/>
        <w:rPr>
          <w:rFonts w:hint="eastAsia" w:ascii="微软雅黑" w:hAnsi="微软雅黑" w:cs="微软雅黑"/>
          <w:b/>
          <w:szCs w:val="21"/>
        </w:rPr>
        <w:outlineLvl w:val="0"/>
      </w:pPr>
      <w:r>
        <w:rPr>
          <w:rFonts w:hint="eastAsia" w:ascii="微软雅黑" w:hAnsi="微软雅黑" w:cs="微软雅黑"/>
          <w:b/>
          <w:szCs w:val="21"/>
        </w:rPr>
        <w:t xml:space="preserve">总则</w:t>
      </w:r>
      <w:r>
        <w:rPr>
          <w:rFonts w:hint="eastAsia" w:ascii="微软雅黑" w:hAnsi="微软雅黑" w:cs="微软雅黑"/>
          <w:b/>
          <w:szCs w:val="21"/>
        </w:rPr>
      </w:r>
      <w:r/>
    </w:p>
    <w:p>
      <w:pPr>
        <w:pStyle w:val="1044"/>
        <w:ind w:firstLine="420"/>
        <w:spacing w:line="440" w:lineRule="exact"/>
        <w:tabs>
          <w:tab w:val="left" w:pos="1260" w:leader="none"/>
          <w:tab w:val="left" w:pos="1470" w:leader="none"/>
        </w:tabs>
        <w:rPr>
          <w:rFonts w:hint="eastAsia" w:ascii="微软雅黑" w:hAnsi="微软雅黑" w:cs="微软雅黑"/>
          <w:szCs w:val="21"/>
        </w:rPr>
      </w:pPr>
      <w:r>
        <w:rPr>
          <w:rFonts w:hint="eastAsia" w:ascii="微软雅黑" w:hAnsi="微软雅黑" w:cs="微软雅黑"/>
          <w:szCs w:val="21"/>
        </w:rPr>
        <w:t xml:space="preserve">（1）本部分规定了环网柜招标的总则、技术参数和性能要求、试验、包装、运输、交货的一般要求。</w:t>
      </w:r>
      <w:r>
        <w:rPr>
          <w:rFonts w:hint="eastAsia" w:ascii="微软雅黑" w:hAnsi="微软雅黑" w:cs="微软雅黑"/>
          <w:szCs w:val="21"/>
        </w:rPr>
      </w:r>
      <w:r/>
    </w:p>
    <w:p>
      <w:pPr>
        <w:pStyle w:val="1044"/>
        <w:ind w:firstLine="420"/>
        <w:spacing w:line="440" w:lineRule="exact"/>
        <w:tabs>
          <w:tab w:val="left" w:pos="1260" w:leader="none"/>
          <w:tab w:val="left" w:pos="1470" w:leader="none"/>
        </w:tabs>
        <w:rPr>
          <w:rFonts w:hint="eastAsia" w:ascii="微软雅黑" w:hAnsi="微软雅黑" w:cs="微软雅黑"/>
          <w:szCs w:val="21"/>
        </w:rPr>
      </w:pPr>
      <w:r>
        <w:rPr>
          <w:rFonts w:hint="eastAsia" w:ascii="微软雅黑" w:hAnsi="微软雅黑" w:cs="微软雅黑"/>
          <w:szCs w:val="21"/>
        </w:rPr>
        <w:t xml:space="preserve">（2）本部分适用于环网柜招标。</w:t>
      </w:r>
      <w:r>
        <w:rPr>
          <w:rFonts w:hint="eastAsia" w:ascii="微软雅黑" w:hAnsi="微软雅黑" w:cs="微软雅黑"/>
          <w:szCs w:val="21"/>
        </w:rPr>
      </w:r>
      <w:r/>
    </w:p>
    <w:p>
      <w:pPr>
        <w:pStyle w:val="1044"/>
        <w:numPr>
          <w:ilvl w:val="0"/>
          <w:numId w:val="11"/>
        </w:numPr>
        <w:keepLines/>
        <w:keepNext/>
        <w:spacing w:line="440" w:lineRule="exact"/>
        <w:rPr>
          <w:rFonts w:hint="eastAsia" w:ascii="微软雅黑" w:hAnsi="微软雅黑" w:cs="微软雅黑"/>
          <w:b/>
          <w:szCs w:val="21"/>
        </w:rPr>
        <w:outlineLvl w:val="0"/>
      </w:pPr>
      <w:r/>
      <w:bookmarkStart w:id="163" w:name="_Toc179977342"/>
      <w:r>
        <w:rPr>
          <w:rFonts w:hint="eastAsia" w:ascii="微软雅黑" w:hAnsi="微软雅黑" w:cs="微软雅黑"/>
          <w:b/>
          <w:szCs w:val="21"/>
        </w:rPr>
        <w:t xml:space="preserve">规范性引用文件</w:t>
      </w:r>
      <w:bookmarkEnd w:id="163"/>
      <w:r>
        <w:rPr>
          <w:rFonts w:hint="eastAsia" w:ascii="微软雅黑" w:hAnsi="微软雅黑" w:cs="微软雅黑"/>
          <w:b/>
          <w:szCs w:val="21"/>
        </w:rPr>
      </w:r>
      <w:r/>
    </w:p>
    <w:p>
      <w:pPr>
        <w:pStyle w:val="1044"/>
        <w:ind w:firstLine="425"/>
        <w:spacing w:line="440" w:lineRule="exact"/>
        <w:rPr>
          <w:rFonts w:hint="eastAsia" w:ascii="微软雅黑" w:hAnsi="微软雅黑" w:cs="微软雅黑"/>
          <w:szCs w:val="21"/>
        </w:rPr>
      </w:pPr>
      <w:r>
        <w:rPr>
          <w:rFonts w:hint="eastAsia" w:ascii="微软雅黑" w:hAnsi="微软雅黑" w:cs="微软雅黑"/>
          <w:szCs w:val="21"/>
        </w:rPr>
        <w:t xml:space="preserve">下列文件对于本文件的应用是必不可少的。凡是注日期的引用文件，仅注日期的版本适用于本文件。凡是不注日期的引用文件，其最新版本适用于本文件。</w:t>
      </w:r>
      <w:r>
        <w:rPr>
          <w:rFonts w:hint="eastAsia" w:ascii="微软雅黑" w:hAnsi="微软雅黑" w:cs="微软雅黑"/>
          <w:szCs w:val="21"/>
        </w:rPr>
      </w:r>
      <w:r/>
    </w:p>
    <w:p>
      <w:pPr>
        <w:pStyle w:val="1044"/>
        <w:ind w:firstLine="420"/>
        <w:spacing w:line="440" w:lineRule="exact"/>
        <w:widowControl/>
        <w:rPr>
          <w:rFonts w:hint="eastAsia" w:ascii="微软雅黑" w:hAnsi="微软雅黑" w:cs="微软雅黑"/>
          <w:szCs w:val="21"/>
        </w:rPr>
      </w:pPr>
      <w:r/>
      <w:bookmarkStart w:id="164" w:name="_Toc357152502"/>
      <w:r>
        <w:rPr>
          <w:rFonts w:hint="eastAsia" w:ascii="微软雅黑" w:hAnsi="微软雅黑" w:cs="微软雅黑"/>
          <w:szCs w:val="21"/>
        </w:rPr>
        <w:t xml:space="preserve">GB/T 191  包装储运图示标志(ISO 780-1997,MOD )</w:t>
      </w:r>
      <w:r>
        <w:rPr>
          <w:rFonts w:hint="eastAsia" w:ascii="微软雅黑" w:hAnsi="微软雅黑" w:cs="微软雅黑"/>
          <w:szCs w:val="21"/>
        </w:rPr>
      </w:r>
      <w:r/>
    </w:p>
    <w:p>
      <w:pPr>
        <w:pStyle w:val="1044"/>
        <w:ind w:firstLine="420"/>
        <w:spacing w:line="440" w:lineRule="exact"/>
        <w:tabs>
          <w:tab w:val="left" w:pos="1260" w:leader="none"/>
          <w:tab w:val="left" w:pos="1470" w:leader="none"/>
        </w:tabs>
        <w:rPr>
          <w:rFonts w:hint="eastAsia" w:ascii="微软雅黑" w:hAnsi="微软雅黑" w:cs="微软雅黑"/>
          <w:szCs w:val="21"/>
        </w:rPr>
      </w:pPr>
      <w:r>
        <w:rPr>
          <w:rFonts w:hint="eastAsia" w:ascii="微软雅黑" w:hAnsi="微软雅黑" w:cs="微软雅黑"/>
          <w:szCs w:val="21"/>
        </w:rPr>
        <w:t xml:space="preserve">GB 1207  电磁式电压互感器(IEC 60044-2: 2003, MOD )</w:t>
      </w:r>
      <w:r>
        <w:rPr>
          <w:rFonts w:hint="eastAsia" w:ascii="微软雅黑" w:hAnsi="微软雅黑" w:cs="微软雅黑"/>
          <w:szCs w:val="21"/>
        </w:rPr>
      </w:r>
      <w:r/>
    </w:p>
    <w:p>
      <w:pPr>
        <w:pStyle w:val="1044"/>
        <w:ind w:firstLine="420"/>
        <w:spacing w:line="440" w:lineRule="exact"/>
        <w:tabs>
          <w:tab w:val="left" w:pos="1260" w:leader="none"/>
          <w:tab w:val="left" w:pos="1470" w:leader="none"/>
        </w:tabs>
        <w:rPr>
          <w:rFonts w:hint="eastAsia" w:ascii="微软雅黑" w:hAnsi="微软雅黑" w:cs="微软雅黑"/>
          <w:szCs w:val="21"/>
        </w:rPr>
      </w:pPr>
      <w:r>
        <w:rPr>
          <w:rFonts w:hint="eastAsia" w:ascii="微软雅黑" w:hAnsi="微软雅黑" w:cs="微软雅黑"/>
          <w:szCs w:val="21"/>
        </w:rPr>
        <w:t xml:space="preserve">GB 1208  电流互感器 (IEC 60044-1.2001. 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1984  高压交流断路器(IEC 62271-100: 2001, 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1985  高压交流隔离开关和接地开关(IEC 62271-102: 2002, 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GB/T 11022  高压开关设备和控制设备标准的共用技术要求</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3804  3.6kV～40.5kV  高压交流负荷开关(IEC 60265-1-1998 ,MOD)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3906  3.6kV～40.5kV  交流金属封闭开关设备和控制设备(IEC 62271-200-2003,MOD )</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4208  外壳防护等级（IP代码）(IEC 60529-2001,IDT)</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GB/T 5465.2  电气设备用图形符号第2部分：图形符号(IDT IEC 60417 DB:2007)</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GB/T 7354  局部放电测量(IEC 60270-2000,IDT)</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GB/T 11022  高压开关设备和控制设备标准的共用技术要求</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11032  交流无间隙金属氧化物避雷器(IEC 60099-4-2006,MOD)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GB/T 12022  工业六氟化硫(IEC 376,376A,376B.MOD)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GB/T 12706.4  挤包绝缘电力电缆及附件试验要求(IEC 60502-4-2005,MOD)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15166.2  交流高压熔断器：限流式熔断器(IEC 60282-1-2005 ,MOD)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16926  高压交流负荷开关熔断器组合电器(IEC 6227-105-2002 ,MOD)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GB 50150  电气装置安装工程电气设备交接试验标准</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402  高压交流断路器订货技术条件(IEC 62271-100-2001,MOD)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403  12-40.5kV高压真空断路器订货技术条件</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404  3.6kV～40.5kV交流金属封闭开关设备和控制设备（IEC 62271一200-2003,MOD）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486  高压交流隔离开关和接地开关(IEC 62271-102-2002,MOD)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 538  高压带电显示装置(IEC 61958- 2000-11,MOD )</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593  高压开关设备和控制设备标准的共用技术要求(IEC 60694-2002,MOD)</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621  交流电气装置的接地</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728  气体绝缘金属封闭开关设备订货技术导则(IEC 815-1986，IEC 859-1986)</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DL/T 791  户内交流充气式开关柜选用导则</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JB/T 8144.1  额定电压26/35kV及以下电力电缆附件基本技术要求</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SD 318  高压开关柜闭锁装置技术条件</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Q/GDW 741  配电网技术改造设备选型和配置原则</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Q/GDW 742  配电网施工检修工艺规范</w:t>
      </w:r>
      <w:r>
        <w:rPr>
          <w:rFonts w:hint="eastAsia" w:ascii="微软雅黑" w:hAnsi="微软雅黑" w:cs="微软雅黑"/>
          <w:szCs w:val="21"/>
        </w:rPr>
      </w:r>
      <w:r/>
    </w:p>
    <w:p>
      <w:pPr>
        <w:pStyle w:val="1044"/>
        <w:ind w:firstLine="425"/>
        <w:spacing w:line="440" w:lineRule="exact"/>
        <w:rPr>
          <w:rFonts w:hint="eastAsia" w:ascii="微软雅黑" w:hAnsi="微软雅黑" w:cs="微软雅黑"/>
          <w:szCs w:val="21"/>
        </w:rPr>
      </w:pPr>
      <w:r>
        <w:rPr>
          <w:rFonts w:hint="eastAsia" w:ascii="微软雅黑" w:hAnsi="微软雅黑" w:cs="微软雅黑"/>
          <w:szCs w:val="21"/>
        </w:rPr>
        <w:t xml:space="preserve">国家电网公司十八项电网重大反事故措施（修订版）</w:t>
      </w:r>
      <w:r>
        <w:rPr>
          <w:rFonts w:hint="eastAsia" w:ascii="微软雅黑" w:hAnsi="微软雅黑" w:cs="微软雅黑"/>
          <w:szCs w:val="21"/>
        </w:rPr>
      </w:r>
      <w:r/>
    </w:p>
    <w:p>
      <w:pPr>
        <w:pStyle w:val="1044"/>
        <w:ind w:firstLine="425"/>
        <w:spacing w:line="440" w:lineRule="exact"/>
        <w:tabs>
          <w:tab w:val="left" w:pos="2338" w:leader="none"/>
        </w:tabs>
        <w:rPr>
          <w:rFonts w:hint="eastAsia" w:ascii="微软雅黑" w:hAnsi="微软雅黑" w:cs="微软雅黑"/>
          <w:szCs w:val="21"/>
        </w:rPr>
      </w:pPr>
      <w:r>
        <w:rPr>
          <w:rFonts w:hint="eastAsia" w:ascii="微软雅黑" w:hAnsi="微软雅黑" w:cs="微软雅黑"/>
          <w:szCs w:val="21"/>
        </w:rPr>
        <w:t xml:space="preserve">国家电网公司交流高压断路器技术标准、交流隔离开关和接地开关技术标准</w:t>
      </w:r>
      <w:r>
        <w:rPr>
          <w:rFonts w:hint="eastAsia" w:ascii="微软雅黑" w:hAnsi="微软雅黑" w:cs="微软雅黑"/>
          <w:szCs w:val="21"/>
        </w:rPr>
      </w:r>
      <w:r/>
    </w:p>
    <w:p>
      <w:pPr>
        <w:pStyle w:val="1044"/>
        <w:ind w:firstLine="425"/>
        <w:spacing w:line="440" w:lineRule="exact"/>
        <w:rPr>
          <w:rFonts w:hint="eastAsia" w:ascii="微软雅黑" w:hAnsi="微软雅黑" w:cs="微软雅黑"/>
          <w:spacing w:val="-4"/>
          <w:szCs w:val="21"/>
        </w:rPr>
      </w:pPr>
      <w:r>
        <w:rPr>
          <w:rFonts w:hint="eastAsia" w:ascii="微软雅黑" w:hAnsi="微软雅黑" w:cs="微软雅黑"/>
          <w:szCs w:val="21"/>
        </w:rPr>
        <w:t xml:space="preserve">国家电网公司</w:t>
      </w:r>
      <w:r>
        <w:rPr>
          <w:rFonts w:hint="eastAsia" w:ascii="微软雅黑" w:hAnsi="微软雅黑" w:cs="微软雅黑"/>
          <w:spacing w:val="-4"/>
          <w:szCs w:val="21"/>
        </w:rPr>
        <w:t xml:space="preserve">关于印发《预防12kV～40.5kV交流高压开关柜事故补充措施》的通知</w:t>
      </w:r>
      <w:r>
        <w:rPr>
          <w:rFonts w:hint="eastAsia" w:ascii="微软雅黑" w:hAnsi="微软雅黑" w:cs="微软雅黑"/>
          <w:spacing w:val="-4"/>
          <w:szCs w:val="21"/>
        </w:rPr>
      </w:r>
      <w:r/>
    </w:p>
    <w:p>
      <w:pPr>
        <w:pStyle w:val="1044"/>
        <w:ind w:firstLine="425"/>
        <w:spacing w:line="440" w:lineRule="exact"/>
        <w:rPr>
          <w:rFonts w:hint="eastAsia" w:ascii="微软雅黑" w:hAnsi="微软雅黑" w:cs="微软雅黑"/>
          <w:szCs w:val="21"/>
        </w:rPr>
      </w:pPr>
      <w:r>
        <w:rPr>
          <w:rFonts w:hint="eastAsia" w:ascii="微软雅黑" w:hAnsi="微软雅黑" w:cs="微软雅黑"/>
          <w:szCs w:val="21"/>
        </w:rPr>
        <w:t xml:space="preserve">国家电网公司关于印发《预防交流高压开关柜人身伤害事故措施》的通知</w:t>
      </w:r>
      <w:r>
        <w:rPr>
          <w:rFonts w:hint="eastAsia" w:ascii="微软雅黑" w:hAnsi="微软雅黑" w:cs="微软雅黑"/>
          <w:szCs w:val="21"/>
        </w:rPr>
      </w:r>
      <w:r/>
    </w:p>
    <w:p>
      <w:pPr>
        <w:pStyle w:val="1044"/>
        <w:ind w:firstLine="425"/>
        <w:spacing w:line="440" w:lineRule="exact"/>
        <w:rPr>
          <w:rFonts w:hint="eastAsia" w:ascii="微软雅黑" w:hAnsi="微软雅黑" w:cs="微软雅黑"/>
          <w:szCs w:val="21"/>
        </w:rPr>
      </w:pPr>
      <w:r>
        <w:rPr>
          <w:rFonts w:hint="eastAsia" w:ascii="微软雅黑" w:hAnsi="微软雅黑" w:cs="微软雅黑"/>
          <w:szCs w:val="21"/>
        </w:rPr>
        <w:t xml:space="preserve">国家电网公司物资采购标准高海拔外绝缘配置技术规范</w:t>
      </w:r>
      <w:r>
        <w:rPr>
          <w:rFonts w:hint="eastAsia" w:ascii="微软雅黑" w:hAnsi="微软雅黑" w:cs="微软雅黑"/>
          <w:szCs w:val="21"/>
        </w:rPr>
      </w:r>
      <w:r/>
    </w:p>
    <w:p>
      <w:pPr>
        <w:pStyle w:val="1044"/>
        <w:ind w:firstLine="420"/>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电网设备及材料质量管控重点措施</w:t>
      </w:r>
      <w:r>
        <w:rPr>
          <w:rFonts w:hint="eastAsia" w:ascii="微软雅黑" w:hAnsi="微软雅黑" w:cs="微软雅黑"/>
          <w:szCs w:val="21"/>
        </w:rPr>
      </w:r>
      <w:r/>
    </w:p>
    <w:p>
      <w:pPr>
        <w:pStyle w:val="1044"/>
        <w:numPr>
          <w:ilvl w:val="0"/>
          <w:numId w:val="11"/>
        </w:numPr>
        <w:keepLines/>
        <w:keepNext/>
        <w:spacing w:line="440" w:lineRule="exact"/>
        <w:rPr>
          <w:rFonts w:hint="eastAsia" w:ascii="微软雅黑" w:hAnsi="微软雅黑" w:cs="微软雅黑"/>
          <w:b/>
          <w:szCs w:val="21"/>
        </w:rPr>
        <w:outlineLvl w:val="0"/>
      </w:pPr>
      <w:r/>
      <w:bookmarkEnd w:id="164"/>
      <w:r/>
      <w:bookmarkStart w:id="165" w:name="_Toc179977343"/>
      <w:r>
        <w:rPr>
          <w:rFonts w:hint="eastAsia" w:ascii="微软雅黑" w:hAnsi="微软雅黑" w:cs="微软雅黑"/>
          <w:b/>
          <w:szCs w:val="21"/>
        </w:rPr>
        <w:t xml:space="preserve">技术性能指标要求</w:t>
      </w:r>
      <w:bookmarkEnd w:id="165"/>
      <w:r>
        <w:rPr>
          <w:rFonts w:hint="eastAsia" w:ascii="微软雅黑" w:hAnsi="微软雅黑" w:cs="微软雅黑"/>
          <w:b/>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pacing w:val="20"/>
          <w:szCs w:val="21"/>
        </w:rPr>
        <w:t xml:space="preserve">.</w:t>
      </w:r>
      <w:r>
        <w:rPr>
          <w:rFonts w:hint="eastAsia" w:ascii="微软雅黑" w:hAnsi="微软雅黑" w:cs="微软雅黑"/>
          <w:szCs w:val="21"/>
        </w:rPr>
        <w:t xml:space="preserve">1　</w:t>
      </w:r>
      <w:r>
        <w:rPr>
          <w:rFonts w:hint="eastAsia" w:ascii="微软雅黑" w:hAnsi="微软雅黑" w:cs="微软雅黑"/>
          <w:szCs w:val="21"/>
        </w:rPr>
        <w:t xml:space="preserve">环网柜技术参数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环网柜</w:t>
      </w:r>
      <w:r>
        <w:rPr>
          <w:rFonts w:hint="eastAsia" w:ascii="微软雅黑" w:hAnsi="微软雅黑" w:cs="微软雅黑"/>
          <w:bCs/>
          <w:szCs w:val="21"/>
        </w:rPr>
        <w:t xml:space="preserve">技术参数见4技术参数要求</w:t>
      </w:r>
      <w:r>
        <w:rPr>
          <w:rFonts w:hint="eastAsia" w:ascii="微软雅黑" w:hAnsi="微软雅黑" w:cs="微软雅黑"/>
          <w:szCs w:val="21"/>
        </w:rPr>
        <w:t xml:space="preserve">。</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3.2　通用要求</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3.2.1 环网柜的设计应保证设备运维、检修试验、带电状态的确定、连接电缆的故障定位等操作能安全进行。</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3.2.2 环网柜的设计应能在允许的基础误差和热胀冷缩的热效应下不致影响设备所保证的性能，并满足与其他设备连接的要求，与结构相同的所有可移开部件和元件在机械和电气上应有互换性。</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3.2.3环网柜应配置带电显示器（带二次核相孔、按回路配置），应能满足验电、核相的要求。高压带电显示装置的显示器接线端子对地和端子之间应能承受2000V/1min的工频耐压。传感器电压抽取端及引线对地应能承受2000V/1min的工频耐压。感应式带电显示装置，其传感器要求与带电部位保持125mm以上空气净距要求。</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3.2.4</w:t>
      </w:r>
      <w:r>
        <w:rPr>
          <w:rFonts w:hint="eastAsia" w:ascii="微软雅黑" w:hAnsi="微软雅黑" w:cs="微软雅黑"/>
          <w:szCs w:val="21"/>
        </w:rPr>
        <w:t xml:space="preserve">环网柜按回路配置具有电缆故障报警和电缆终端测温功能的电缆故障指示器，并具有远方传输接点和远方复位控制接点，在未接到复位指令时故障指示器闪光指示须大于24h。</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3.2.5实施配电自动化的环网单元，操作电源可采用直流48V、110V或交流220V，并配置自动化接口。进出线柜可装设3只电流互感器（自产零序）或2只电流互感器、1只零序电流互感器，并设置二次小室。</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3.2.6环网柜中各组件及其支持绝缘件爬电比距应满足瓷质材料不小于18mm/kV，有机材料不小于20 mm/kV。</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3.2.7</w:t>
      </w:r>
      <w:r>
        <w:rPr>
          <w:rFonts w:hint="eastAsia" w:ascii="微软雅黑" w:hAnsi="微软雅黑" w:cs="微软雅黑"/>
          <w:szCs w:val="21"/>
        </w:rPr>
        <w:t xml:space="preserve">对最小空气间隙的要求：</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单纯以空气作为绝缘介质的环网柜，相间和相对地的最小空气间隙应满足：12kV相间和相对地125mm，带电体至门155mm。</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以空气和绝缘隔板组成的复合绝缘作为绝缘介质的环网柜，绝缘隔板应选用耐电弧、耐高温、阻燃、低毒、不吸潮且具有优良机械强度和电气绝缘性能的材料。带电体与绝缘板之间的最小空气间隙应满足：对12kV设备应不小于30mm。</w:t>
      </w:r>
      <w:r>
        <w:rPr>
          <w:rFonts w:hint="eastAsia" w:ascii="微软雅黑" w:hAnsi="微软雅黑" w:cs="微软雅黑"/>
          <w:szCs w:val="21"/>
        </w:rPr>
      </w:r>
      <w:r/>
    </w:p>
    <w:p>
      <w:pPr>
        <w:pStyle w:val="1044"/>
        <w:ind w:firstLine="424"/>
        <w:spacing w:line="440" w:lineRule="exact"/>
        <w:widowControl/>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环网柜内部导体采用的热缩绝缘材料老化寿命应与环网柜设备使用寿命一致。</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3.2.8</w:t>
      </w:r>
      <w:r>
        <w:rPr>
          <w:rFonts w:hint="eastAsia" w:ascii="微软雅黑" w:hAnsi="微软雅黑" w:cs="微软雅黑"/>
          <w:szCs w:val="21"/>
        </w:rPr>
        <w:t xml:space="preserve">环网柜设备的泄压通道应设置明显的警示标志。</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3.2.9</w:t>
      </w:r>
      <w:r>
        <w:rPr>
          <w:rFonts w:hint="eastAsia" w:ascii="微软雅黑" w:hAnsi="微软雅黑" w:cs="微软雅黑"/>
          <w:szCs w:val="21"/>
        </w:rPr>
        <w:t xml:space="preserve">环网柜的柜体应采用≥2mm的敷铝锌钢板弯折后拼接而成，柜门关闭时防护等级应不低于GB 4208中IP4X，柜门打开时防护等级不低于IP2XC。</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3.2.10环网柜体颜色采用RAL7035。</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3.3充气柜技术参数应符合DL/T 728、DL/T791的规定，并满足以下条件：</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3.3.1采用SF6气体绝缘的环网单元每个独立的SF6气室应配置气体压力指示装置。采用SF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气体作为灭弧介质的环网单元应装设SF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气体监测设备（包括密度继电器，压力表），且该设备应设有阀门，以便在不拆卸的情况下进行校验。SF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气体压力监测装置应配置状态信号输出接点。</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3.3.2采用气体灭弧的开关设备应具有低气压分合闸闭锁功能。</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3.3.3</w:t>
      </w:r>
      <w:r>
        <w:rPr>
          <w:rFonts w:hint="eastAsia" w:ascii="微软雅黑" w:hAnsi="微软雅黑" w:cs="微软雅黑"/>
          <w:szCs w:val="21"/>
        </w:rPr>
        <w:t xml:space="preserve">制造厂应明确规定充气柜中使用的SF6气体的质量、密度，并为用户提供更新气体和保持要求的气体质量的必要说明。所用气体应经采购人复检合格后方可使用。</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3.3.4</w:t>
      </w:r>
      <w:r>
        <w:rPr>
          <w:rFonts w:hint="eastAsia" w:ascii="微软雅黑" w:hAnsi="微软雅黑" w:cs="微软雅黑"/>
          <w:szCs w:val="21"/>
        </w:rPr>
        <w:t xml:space="preserve">充气柜应设置用来连接气体处理装置和其它设备的合适连接点（阀门），并可对环网单元进行补气。</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3.3.5气箱箱体应采用厚度≥2.0mm的S304不锈钢板或优质碳钢弯折后焊接而成，气箱防护</w:t>
      </w:r>
      <w:r>
        <w:rPr>
          <w:rFonts w:hint="eastAsia" w:ascii="微软雅黑" w:hAnsi="微软雅黑" w:cs="微软雅黑"/>
          <w:szCs w:val="21"/>
        </w:rPr>
        <w:t xml:space="preserve">等级应满足GB 4208规定的IP67要求。SF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气体作为灭弧介质的气箱应能耐受正常工作和瞬态故障的压力，而不破损。</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3.4功能隔室技术要求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3.4.1 </w:t>
      </w:r>
      <w:r>
        <w:rPr>
          <w:rFonts w:hint="eastAsia" w:ascii="微软雅黑" w:hAnsi="微软雅黑" w:cs="微软雅黑"/>
          <w:szCs w:val="21"/>
        </w:rPr>
        <w:t xml:space="preserve">环网柜应具有高压室和电缆室、控制仪表室与自动化单元等金属封闭的独立隔室。</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3.4.2 </w:t>
      </w:r>
      <w:r>
        <w:rPr>
          <w:rFonts w:hint="eastAsia" w:ascii="微软雅黑" w:hAnsi="微软雅黑" w:cs="微软雅黑"/>
          <w:szCs w:val="21"/>
        </w:rPr>
        <w:t xml:space="preserve">各隔室结构设计上应满足正常使用条件和限制隔室内部电弧影响的要求，并能防止因本身缺陷、异常使用条件或误操作导致的电弧伤及工作人员，能限制电弧的燃烧范围，环网柜应有防止人为造成内部故障的措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3.4.3</w:t>
      </w:r>
      <w:r>
        <w:rPr>
          <w:rFonts w:hint="eastAsia" w:ascii="微软雅黑" w:hAnsi="微软雅黑" w:cs="微软雅黑"/>
          <w:szCs w:val="21"/>
        </w:rPr>
        <w:t xml:space="preserve">环网柜相序按面对环网柜从左至右排列为A、B、C，从上到下排列为A、B、C，从后到前排列为A、B、C。</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3.4.4</w:t>
      </w:r>
      <w:r>
        <w:rPr>
          <w:rFonts w:hint="eastAsia" w:ascii="微软雅黑" w:hAnsi="微软雅黑" w:cs="微软雅黑"/>
          <w:szCs w:val="21"/>
        </w:rPr>
        <w:t xml:space="preserve">环网柜应具有防污秽、防凝露功能，二次仪表小室内宜安装温湿度控制器及加热装置。</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3.4.5</w:t>
      </w:r>
      <w:r>
        <w:rPr>
          <w:rFonts w:hint="eastAsia" w:ascii="微软雅黑" w:hAnsi="微软雅黑" w:cs="微软雅黑"/>
          <w:szCs w:val="21"/>
        </w:rPr>
        <w:t xml:space="preserve">环网柜电缆室、控制仪表室和自动化单元室宜设置照明设备。</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3.4.6</w:t>
      </w:r>
      <w:r>
        <w:rPr>
          <w:rFonts w:hint="eastAsia" w:ascii="微软雅黑" w:hAnsi="微软雅黑" w:cs="微软雅黑"/>
          <w:szCs w:val="21"/>
        </w:rPr>
        <w:t xml:space="preserve">环网柜电缆室应设观察窗，便于对电缆终端进行红外测温。</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3.4.7</w:t>
      </w:r>
      <w:r>
        <w:rPr>
          <w:rFonts w:hint="eastAsia" w:ascii="微软雅黑" w:hAnsi="微软雅黑" w:cs="微软雅黑"/>
          <w:szCs w:val="21"/>
        </w:rPr>
        <w:t xml:space="preserve">环网柜电缆室电缆连接头至柜体底部的高度为650mm，并应满足设计额定电流下的最大线径电缆的应力要求。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3.4.8</w:t>
      </w:r>
      <w:r>
        <w:rPr>
          <w:rFonts w:hint="eastAsia" w:ascii="微软雅黑" w:hAnsi="微软雅黑" w:cs="微软雅黑"/>
          <w:szCs w:val="21"/>
        </w:rPr>
        <w:t xml:space="preserve">柜内进出线处应设置电缆固定支架和抱箍。</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3.5开关设备技术要求</w:t>
      </w:r>
      <w:r>
        <w:rPr>
          <w:rFonts w:hint="eastAsia" w:ascii="微软雅黑" w:hAnsi="微软雅黑" w:cs="微软雅黑"/>
          <w:szCs w:val="21"/>
        </w:rPr>
      </w:r>
      <w:r/>
    </w:p>
    <w:p>
      <w:pPr>
        <w:pStyle w:val="1044"/>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3.5.1 </w:t>
      </w:r>
      <w:r>
        <w:rPr>
          <w:rFonts w:hint="eastAsia" w:ascii="微软雅黑" w:hAnsi="微软雅黑" w:cs="微软雅黑"/>
          <w:szCs w:val="21"/>
        </w:rPr>
        <w:t xml:space="preserve">环网柜柜内开关设备可选用负荷开关、断路器、负荷开关－熔断器组合电器及隔离开关等，各设备的功能和性能应满足GB 1984、GB 1985、GB 3804、GB 16926及GB/T 11022标准的规定。开关应配置直动式分合闸机械指示，开关状态位置应有符号及中文标识。</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3.5.2负荷开关（断路器）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bookmarkStart w:id="166" w:name="_Toc466881988"/>
      <w:r>
        <w:rPr>
          <w:rFonts w:hint="eastAsia" w:ascii="微软雅黑" w:hAnsi="微软雅黑" w:cs="微软雅黑"/>
          <w:szCs w:val="21"/>
        </w:rPr>
        <w:t xml:space="preserve">技术参数见</w:t>
      </w:r>
      <w:r>
        <w:rPr>
          <w:rFonts w:hint="eastAsia" w:ascii="微软雅黑" w:hAnsi="微软雅黑" w:cs="微软雅黑"/>
          <w:bCs/>
          <w:szCs w:val="21"/>
        </w:rPr>
        <w:t xml:space="preserve">4技术参数要求</w:t>
      </w:r>
      <w:r>
        <w:rPr>
          <w:rFonts w:hint="eastAsia" w:ascii="微软雅黑" w:hAnsi="微软雅黑" w:cs="微软雅黑"/>
          <w:szCs w:val="21"/>
        </w:rPr>
        <w:t xml:space="preserve">。</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负荷开关可选用二工位或三工位负荷开关，二工位负荷开关与接地开关间应有可靠的机械防误联锁，负荷开关及接地开关操作孔应有挂锁装置，挂锁后可阻止操作把手插入操作孔。</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bookmarkEnd w:id="166"/>
      <w:r>
        <w:rPr>
          <w:rFonts w:hint="eastAsia" w:ascii="微软雅黑" w:hAnsi="微软雅黑" w:cs="微软雅黑"/>
          <w:szCs w:val="21"/>
        </w:rPr>
        <w:t xml:space="preserve">3.5.3对真空负荷开关（断路器）的要求：</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真空灭弧室应与型式试验中采用的一致。</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真空灭弧室允许储存期不小于20年，出厂时灭弧室真空度不得小于1.33×10</w:t>
      </w:r>
      <w:r>
        <w:rPr>
          <w:rFonts w:hint="eastAsia" w:ascii="微软雅黑" w:hAnsi="微软雅黑" w:cs="微软雅黑"/>
          <w:szCs w:val="21"/>
          <w:vertAlign w:val="superscript"/>
        </w:rPr>
        <w:t xml:space="preserve">3</w:t>
      </w:r>
      <w:r>
        <w:rPr>
          <w:rFonts w:hint="eastAsia" w:ascii="微软雅黑" w:hAnsi="微软雅黑" w:cs="微软雅黑"/>
          <w:szCs w:val="21"/>
        </w:rPr>
        <w:t xml:space="preserve">Pa。在允许储存期内，其真空度应满足运行要求。</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真空灭弧室在出厂时应做“老炼”试验。</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d）</w:t>
      </w:r>
      <w:r>
        <w:rPr>
          <w:rFonts w:hint="eastAsia" w:ascii="微软雅黑" w:hAnsi="微软雅黑" w:cs="微软雅黑"/>
          <w:szCs w:val="21"/>
        </w:rPr>
        <w:tab/>
      </w:r>
      <w:r>
        <w:rPr>
          <w:rFonts w:hint="eastAsia" w:ascii="微软雅黑" w:hAnsi="微软雅黑" w:cs="微软雅黑"/>
          <w:szCs w:val="21"/>
        </w:rPr>
        <w:t xml:space="preserve">真空断路器接地金属外壳上应有防锈的、导电性能良好的、直径为12mm的接地螺钉。接地点附近应标有接地符号。</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bookmarkStart w:id="167" w:name="_Toc196279311"/>
      <w:r/>
      <w:bookmarkStart w:id="168" w:name="_Toc196296991"/>
      <w:r>
        <w:rPr>
          <w:rFonts w:hint="eastAsia" w:ascii="微软雅黑" w:hAnsi="微软雅黑" w:cs="微软雅黑"/>
          <w:szCs w:val="21"/>
        </w:rPr>
        <w:t xml:space="preserve">2.5.4对SF6负荷开关（断路器）的要求</w:t>
      </w:r>
      <w:bookmarkEnd w:id="167"/>
      <w:r/>
      <w:bookmarkEnd w:id="168"/>
      <w:r>
        <w:rPr>
          <w:rFonts w:hint="eastAsia" w:ascii="微软雅黑" w:hAnsi="微软雅黑" w:cs="微软雅黑"/>
          <w:szCs w:val="21"/>
        </w:rPr>
        <w:t xml:space="preserve">：</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所用气体应经采购人复检合格后方可使用。</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气体抽样阀：为便于气体的试验抽样及补充，断路器应装设合适的阀门。</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气体系统的要求：断路器的SF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气体系统应便于安装和维修，并有用来连接气体处理装置和其他设备的合适连接点。</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d）</w:t>
      </w:r>
      <w:r>
        <w:rPr>
          <w:rFonts w:hint="eastAsia" w:ascii="微软雅黑" w:hAnsi="微软雅黑" w:cs="微软雅黑"/>
          <w:szCs w:val="21"/>
        </w:rPr>
        <w:tab/>
      </w:r>
      <w:r>
        <w:rPr>
          <w:rFonts w:hint="eastAsia" w:ascii="微软雅黑" w:hAnsi="微软雅黑" w:cs="微软雅黑"/>
          <w:szCs w:val="21"/>
        </w:rPr>
        <w:t xml:space="preserve">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气体监测设备：断路器应装设SF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气体监测设备（包括密度继电器，压力表）。且该设备应设有阀门，以便在不拆卸的情况下进行校验。</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e）</w:t>
      </w:r>
      <w:r>
        <w:rPr>
          <w:rFonts w:hint="eastAsia" w:ascii="微软雅黑" w:hAnsi="微软雅黑" w:cs="微软雅黑"/>
          <w:szCs w:val="21"/>
        </w:rPr>
        <w:tab/>
      </w:r>
      <w:r>
        <w:rPr>
          <w:rFonts w:hint="eastAsia" w:ascii="微软雅黑" w:hAnsi="微软雅黑" w:cs="微软雅黑"/>
          <w:szCs w:val="21"/>
        </w:rPr>
        <w:t xml:space="preserve">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气体内的水分含量：断路器中SF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气体在额定压力下在20℃时的最大水分含量应小于150L/L，在其他温度时应予修正。</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f）</w:t>
      </w:r>
      <w:r>
        <w:rPr>
          <w:rFonts w:hint="eastAsia" w:ascii="微软雅黑" w:hAnsi="微软雅黑" w:cs="微软雅黑"/>
          <w:szCs w:val="21"/>
        </w:rPr>
        <w:tab/>
      </w:r>
      <w:r>
        <w:rPr>
          <w:rFonts w:hint="eastAsia" w:ascii="微软雅黑" w:hAnsi="微软雅黑" w:cs="微软雅黑"/>
          <w:szCs w:val="21"/>
        </w:rPr>
        <w:t xml:space="preserve">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断路器的吸附剂：投标人在供货前应提交一份解释文件，包括吸附剂的位置、种类和质量。</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g）</w:t>
      </w:r>
      <w:r>
        <w:rPr>
          <w:rFonts w:hint="eastAsia" w:ascii="微软雅黑" w:hAnsi="微软雅黑" w:cs="微软雅黑"/>
          <w:szCs w:val="21"/>
        </w:rPr>
        <w:tab/>
      </w:r>
      <w:r>
        <w:rPr>
          <w:rFonts w:hint="eastAsia" w:ascii="微软雅黑" w:hAnsi="微软雅黑" w:cs="微软雅黑"/>
          <w:szCs w:val="21"/>
        </w:rPr>
        <w:t xml:space="preserve">SF</w:t>
      </w:r>
      <w:r>
        <w:rPr>
          <w:rFonts w:hint="eastAsia" w:ascii="微软雅黑" w:hAnsi="微软雅黑" w:cs="微软雅黑"/>
          <w:szCs w:val="21"/>
          <w:vertAlign w:val="subscript"/>
        </w:rPr>
        <w:t xml:space="preserve">6</w:t>
      </w:r>
      <w:r>
        <w:rPr>
          <w:rFonts w:hint="eastAsia" w:ascii="微软雅黑" w:hAnsi="微软雅黑" w:cs="微软雅黑"/>
          <w:szCs w:val="21"/>
        </w:rPr>
        <w:t xml:space="preserve">负荷开关在零表压时应能开断额定电流。</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3.5.5负荷开关—熔断器组合电器</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a）</w:t>
      </w:r>
      <w:r>
        <w:rPr>
          <w:rFonts w:hint="eastAsia" w:ascii="微软雅黑" w:hAnsi="微软雅黑" w:cs="微软雅黑"/>
          <w:bCs/>
          <w:szCs w:val="21"/>
        </w:rPr>
        <w:t xml:space="preserve">技术参数见4技术参数要求。</w:t>
      </w:r>
      <w:r>
        <w:rPr>
          <w:rFonts w:hint="eastAsia" w:ascii="微软雅黑" w:hAnsi="微软雅黑" w:cs="微软雅黑"/>
          <w:bCs/>
          <w:szCs w:val="21"/>
        </w:rPr>
      </w:r>
      <w:r/>
    </w:p>
    <w:p>
      <w:pPr>
        <w:pStyle w:val="1044"/>
        <w:ind w:firstLine="42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b）负荷开关-熔断器组合电器用撞击器分闸操作时，应能开断转移电流，由分励脱扣器分闸操作时，应能开断交接电流。熔断器撞击器与负荷开关脱扣器之间的联动装置应在任一相撞击器动作时，负荷开关应可靠动作，三相同时动作时，不应损坏脱扣器。</w:t>
      </w:r>
      <w:r>
        <w:rPr>
          <w:rFonts w:hint="eastAsia" w:ascii="微软雅黑" w:hAnsi="微软雅黑" w:cs="微软雅黑"/>
          <w:szCs w:val="21"/>
        </w:rPr>
      </w:r>
      <w:r/>
    </w:p>
    <w:p>
      <w:pPr>
        <w:pStyle w:val="1044"/>
        <w:ind w:firstLine="42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c）负荷开关－熔断器组合电器回路，如用于变压器保护时可加装分励脱扣装置（如过温跳闸）。</w:t>
      </w:r>
      <w:r>
        <w:rPr>
          <w:rFonts w:hint="eastAsia" w:ascii="微软雅黑" w:hAnsi="微软雅黑" w:cs="微软雅黑"/>
          <w:szCs w:val="21"/>
        </w:rPr>
      </w:r>
      <w:r/>
    </w:p>
    <w:p>
      <w:pPr>
        <w:pStyle w:val="1044"/>
        <w:ind w:firstLine="42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d）负荷开关+熔断器组合电器的环网柜，其熔断器的安装位置设计应使其在因故障熔断、在负荷开关分断后便于更换熔断件。</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3.5.6隔离开关</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bCs/>
          <w:szCs w:val="21"/>
        </w:rPr>
        <w:t xml:space="preserve">技术参数见4技术参数要求。</w:t>
      </w:r>
      <w:r>
        <w:rPr>
          <w:rFonts w:hint="eastAsia" w:ascii="微软雅黑" w:hAnsi="微软雅黑" w:cs="微软雅黑"/>
          <w:bCs/>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3.6.7接地开关</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a）技术参数见</w:t>
      </w:r>
      <w:r>
        <w:rPr>
          <w:rFonts w:hint="eastAsia" w:ascii="微软雅黑" w:hAnsi="微软雅黑" w:cs="微软雅黑"/>
          <w:bCs/>
          <w:szCs w:val="21"/>
        </w:rPr>
        <w:t xml:space="preserve">4技术参数要求</w:t>
      </w:r>
      <w:r>
        <w:rPr>
          <w:rFonts w:hint="eastAsia" w:ascii="微软雅黑" w:hAnsi="微软雅黑" w:cs="微软雅黑"/>
          <w:szCs w:val="21"/>
        </w:rPr>
        <w:t xml:space="preserve">。</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b）与二工位隔离开关配合使用单独安装的接地开关应具备两次关合短路电流的能力。</w:t>
      </w:r>
      <w:r>
        <w:rPr>
          <w:rFonts w:hint="eastAsia" w:ascii="微软雅黑" w:hAnsi="微软雅黑" w:cs="微软雅黑"/>
          <w:szCs w:val="21"/>
        </w:rPr>
      </w:r>
      <w:r/>
    </w:p>
    <w:p>
      <w:pPr>
        <w:pStyle w:val="1044"/>
        <w:ind w:firstLine="420"/>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 xml:space="preserve">操动机构：可手动和电动（如有）操作，每组接地开关应装设一个机械式的分/合位置指示器；应装设观察窗，以便操作人员检查触头的位置。</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3.6其它设备技术要求</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3.6.1</w:t>
      </w:r>
      <w:bookmarkStart w:id="169" w:name="_Toc251956252"/>
      <w:r>
        <w:rPr>
          <w:rFonts w:hint="eastAsia" w:ascii="微软雅黑" w:hAnsi="微软雅黑" w:cs="微软雅黑"/>
          <w:szCs w:val="21"/>
        </w:rPr>
        <w:t xml:space="preserve">电流互感器</w:t>
      </w:r>
      <w:bookmarkEnd w:id="169"/>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技术参数见</w:t>
      </w:r>
      <w:r>
        <w:rPr>
          <w:rFonts w:hint="eastAsia" w:ascii="微软雅黑" w:hAnsi="微软雅黑" w:cs="微软雅黑"/>
          <w:bCs/>
          <w:szCs w:val="21"/>
        </w:rPr>
        <w:t xml:space="preserve">4技术参数要求</w:t>
      </w:r>
      <w:r>
        <w:rPr>
          <w:rFonts w:hint="eastAsia" w:ascii="微软雅黑" w:hAnsi="微软雅黑" w:cs="微软雅黑"/>
          <w:szCs w:val="21"/>
        </w:rPr>
        <w:t xml:space="preserve">。</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对电流互感器应提供下列数据：励磁特性曲线、拐点电压、75℃时最大二次电阻值等。</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环网柜内的电流互感器在出厂前应做伏安特性筛选，同一柜内的三相电流互感器伏安特性应相匹配。</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bookmarkStart w:id="170" w:name="_Toc251956253"/>
      <w:r/>
      <w:bookmarkStart w:id="171" w:name="_Toc185151547"/>
      <w:r>
        <w:rPr>
          <w:rFonts w:hint="eastAsia" w:ascii="微软雅黑" w:hAnsi="微软雅黑" w:cs="微软雅黑"/>
          <w:szCs w:val="21"/>
        </w:rPr>
        <w:t xml:space="preserve">3.6.2电压互感器</w:t>
      </w:r>
      <w:bookmarkEnd w:id="170"/>
      <w:r/>
      <w:bookmarkEnd w:id="171"/>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bCs/>
          <w:szCs w:val="21"/>
        </w:rPr>
        <w:t xml:space="preserve">技术参数见4技术参数要求。</w:t>
      </w:r>
      <w:r>
        <w:rPr>
          <w:rFonts w:hint="eastAsia" w:ascii="微软雅黑" w:hAnsi="微软雅黑" w:cs="微软雅黑"/>
          <w:bCs/>
          <w:szCs w:val="21"/>
        </w:rPr>
      </w:r>
      <w:r/>
    </w:p>
    <w:p>
      <w:pPr>
        <w:pStyle w:val="1044"/>
        <w:spacing w:line="440" w:lineRule="exact"/>
        <w:widowControl/>
        <w:rPr>
          <w:rFonts w:hint="eastAsia" w:ascii="微软雅黑" w:hAnsi="微软雅黑" w:cs="微软雅黑"/>
          <w:szCs w:val="21"/>
        </w:rPr>
      </w:pPr>
      <w:r/>
      <w:bookmarkStart w:id="172" w:name="_Toc251956254"/>
      <w:r>
        <w:rPr>
          <w:rFonts w:hint="eastAsia" w:ascii="微软雅黑" w:hAnsi="微软雅黑" w:cs="微软雅黑"/>
          <w:szCs w:val="21"/>
        </w:rPr>
        <w:t xml:space="preserve">3.6.3干式变压器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bCs/>
          <w:szCs w:val="21"/>
        </w:rPr>
        <w:t xml:space="preserve">技术参数见4技术参数要求。</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3.6.4避雷器</w:t>
      </w:r>
      <w:bookmarkEnd w:id="172"/>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bCs/>
          <w:szCs w:val="21"/>
        </w:rPr>
        <w:t xml:space="preserve">技术参数见4技术参数要求。</w:t>
      </w:r>
      <w:r>
        <w:rPr>
          <w:rFonts w:hint="eastAsia" w:ascii="微软雅黑" w:hAnsi="微软雅黑" w:cs="微软雅黑"/>
          <w:bCs/>
          <w:szCs w:val="21"/>
        </w:rPr>
      </w:r>
      <w:r/>
    </w:p>
    <w:p>
      <w:pPr>
        <w:pStyle w:val="1044"/>
        <w:spacing w:line="440" w:lineRule="exact"/>
        <w:widowControl/>
        <w:rPr>
          <w:rFonts w:hint="eastAsia" w:ascii="微软雅黑" w:hAnsi="微软雅黑" w:cs="微软雅黑"/>
          <w:szCs w:val="21"/>
        </w:rPr>
      </w:pPr>
      <w:r/>
      <w:bookmarkStart w:id="173" w:name="_Toc251956255"/>
      <w:r>
        <w:rPr>
          <w:rFonts w:hint="eastAsia" w:ascii="微软雅黑" w:hAnsi="微软雅黑" w:cs="微软雅黑"/>
          <w:szCs w:val="21"/>
        </w:rPr>
        <w:t xml:space="preserve">3.6.5母线</w:t>
      </w:r>
      <w:bookmarkEnd w:id="173"/>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bCs/>
          <w:szCs w:val="21"/>
        </w:rPr>
        <w:t xml:space="preserve">技术参数见4技术参数要求。</w:t>
      </w:r>
      <w:r>
        <w:rPr>
          <w:rFonts w:hint="eastAsia" w:ascii="微软雅黑" w:hAnsi="微软雅黑" w:cs="微软雅黑"/>
          <w:bCs/>
          <w:szCs w:val="21"/>
        </w:rPr>
      </w:r>
      <w:r/>
    </w:p>
    <w:p>
      <w:pPr>
        <w:pStyle w:val="1044"/>
        <w:ind w:left="840" w:hanging="420"/>
        <w:spacing w:line="440" w:lineRule="exact"/>
        <w:rPr>
          <w:rFonts w:hint="eastAsia" w:ascii="微软雅黑" w:hAnsi="微软雅黑" w:cs="微软雅黑"/>
          <w:bCs/>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bCs/>
          <w:szCs w:val="21"/>
        </w:rPr>
        <w:t xml:space="preserve">母线材料：铜。</w:t>
      </w:r>
      <w:r>
        <w:rPr>
          <w:rFonts w:hint="eastAsia" w:ascii="微软雅黑" w:hAnsi="微软雅黑" w:cs="微软雅黑"/>
          <w:bCs/>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bCs/>
          <w:szCs w:val="21"/>
        </w:rPr>
        <w:t xml:space="preserve">供货前，</w:t>
      </w:r>
      <w:r>
        <w:rPr>
          <w:rFonts w:hint="eastAsia" w:ascii="微软雅黑" w:hAnsi="微软雅黑" w:cs="微软雅黑"/>
          <w:szCs w:val="21"/>
        </w:rPr>
        <w:t xml:space="preserve">充气柜</w:t>
      </w:r>
      <w:r>
        <w:rPr>
          <w:rFonts w:hint="eastAsia" w:ascii="微软雅黑" w:hAnsi="微软雅黑" w:cs="微软雅黑"/>
          <w:bCs/>
          <w:szCs w:val="21"/>
        </w:rPr>
        <w:t xml:space="preserve">应提供各种触头的结构图。</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3.7操作机构技术要求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3.7.1 </w:t>
      </w:r>
      <w:r>
        <w:rPr>
          <w:rFonts w:hint="eastAsia" w:ascii="微软雅黑" w:hAnsi="微软雅黑" w:cs="微软雅黑"/>
          <w:szCs w:val="21"/>
        </w:rPr>
        <w:t xml:space="preserve">操作机构黑色金属零部件应采用防腐处理工艺，耐受96h及以上中性盐雾试验后无明显锈蚀。</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3.7.2 </w:t>
      </w:r>
      <w:r>
        <w:rPr>
          <w:rFonts w:hint="eastAsia" w:ascii="微软雅黑" w:hAnsi="微软雅黑" w:cs="微软雅黑"/>
          <w:szCs w:val="21"/>
        </w:rPr>
        <w:t xml:space="preserve">开关设备采用手动操作配置时宜具备电动升级扩展功能；开关设备采用电动操作配置时应同时具备手动操作功能。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3.7.3 </w:t>
      </w:r>
      <w:r>
        <w:rPr>
          <w:rFonts w:hint="eastAsia" w:ascii="微软雅黑" w:hAnsi="微软雅黑" w:cs="微软雅黑"/>
          <w:szCs w:val="21"/>
        </w:rPr>
        <w:t xml:space="preserve">断路器和负荷开关配置弹簧操作机构，断路器操作机构具有防止跳跃功能，应配置断器的分合闸指示，操作机构的计数器，储能状态指示应明显清晰，便于观察，且均用中文表示。</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3.7.4 </w:t>
      </w:r>
      <w:r>
        <w:rPr>
          <w:rFonts w:hint="eastAsia" w:ascii="微软雅黑" w:hAnsi="微软雅黑" w:cs="微软雅黑"/>
          <w:szCs w:val="21"/>
        </w:rPr>
        <w:t xml:space="preserve">并联合闸脱扣器</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a) 当电源电压不大于额定电源电压的30%时，合闸脱扣器不应脱扣。并联合闸脱扣器在合闸装置的额定电源电压的85%-110%范围内，交流时在合闸装置的额定频率下，应可靠动作；</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b) 当电源电压不大于额定电源电压的30%时，并联合闸脱扣器不应脱扣。</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3.7.5 </w:t>
      </w:r>
      <w:r>
        <w:rPr>
          <w:rFonts w:hint="eastAsia" w:ascii="微软雅黑" w:hAnsi="微软雅黑" w:cs="微软雅黑"/>
          <w:szCs w:val="21"/>
        </w:rPr>
        <w:t xml:space="preserve">并联分闸脱扣器</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a）并联分闸脱扣器在分闸装置的额定电源电压的 65%-110% (直流)或 85%-110% (交流)范围内，交流时在分闸装置的额定电源频率下，开关装置达到额定短路开断电流的操作条件下，均应可靠动作；</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b）当电源电压不大于额定电源电压的30%时，并联分闸脱扣器不应脱扣。</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3.7.6电动</w:t>
      </w:r>
      <w:r>
        <w:rPr>
          <w:rFonts w:hint="eastAsia" w:ascii="微软雅黑" w:hAnsi="微软雅黑" w:cs="微软雅黑"/>
          <w:szCs w:val="21"/>
        </w:rPr>
        <w:t xml:space="preserve">弹簧操作机构应电动机储能并可手动储能，可紧急跳闸。</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3.7.7</w:t>
      </w:r>
      <w:r>
        <w:rPr>
          <w:rFonts w:hint="eastAsia" w:ascii="微软雅黑" w:hAnsi="微软雅黑" w:cs="微软雅黑"/>
          <w:szCs w:val="21"/>
        </w:rPr>
        <w:t xml:space="preserve">在正常情况下，合闸弹簧完成合闸操作后要立即自动开始再次储能，合闸弹簧应在15s内完成储能。在弹簧储能进行过程中不能合闸，并且弹簧在储能全部完成前不得释放。断路器在各位置时都应能对合闸弹簧储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3.7.8 </w:t>
      </w:r>
      <w:r>
        <w:rPr>
          <w:rFonts w:hint="eastAsia" w:ascii="微软雅黑" w:hAnsi="微软雅黑" w:cs="微软雅黑"/>
          <w:szCs w:val="21"/>
        </w:rPr>
        <w:t xml:space="preserve">合闸弹簧的储能状态有机械装置指示，指示采用中文表示，清晰可视并能实现远方监控。</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3.8主母线技术要求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3.8.1 </w:t>
      </w:r>
      <w:r>
        <w:rPr>
          <w:rFonts w:hint="eastAsia" w:ascii="微软雅黑" w:hAnsi="微软雅黑" w:cs="微软雅黑"/>
          <w:szCs w:val="21"/>
        </w:rPr>
        <w:t xml:space="preserve">环网柜的主母线应采用绝缘母线，柜与柜间用金属隔板隔开，但不得产生涡流，两端母线应用绝缘封堵密封。</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3.8.2 </w:t>
      </w:r>
      <w:r>
        <w:rPr>
          <w:rFonts w:hint="eastAsia" w:ascii="微软雅黑" w:hAnsi="微软雅黑" w:cs="微软雅黑"/>
          <w:szCs w:val="21"/>
        </w:rPr>
        <w:t xml:space="preserve">主母线接合处应有防止电场集中和局部放电的措施。</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3.9接地技术要求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3.9.1 </w:t>
      </w:r>
      <w:r>
        <w:rPr>
          <w:rFonts w:hint="eastAsia" w:ascii="微软雅黑" w:hAnsi="微软雅黑" w:cs="微软雅黑"/>
          <w:szCs w:val="21"/>
        </w:rPr>
        <w:t xml:space="preserve">接地回路应能承受的短时耐受电流最大值应不小于主回路额定短时耐受电流的87％。</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3.9.2 </w:t>
      </w:r>
      <w:r>
        <w:rPr>
          <w:rFonts w:hint="eastAsia" w:ascii="微软雅黑" w:hAnsi="微软雅黑" w:cs="微软雅黑"/>
          <w:szCs w:val="21"/>
        </w:rPr>
        <w:t xml:space="preserve">主回路的接地按 DL/T 404相关规定，并作如下补充：</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a）主回路中凡规定或需要人可触及的所有部件都应可靠接地并符合DL/T 621中的规定；接地母线应分别设有不少于二处与接地系统相连的端子，并应有明显的接地标志；</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b）主回路中均应设置可靠的适用于规定故障条件的接地端子，该端子应有一紧固螺钉或螺栓用来连接接地导体，紧固螺钉或螺栓的直径应不小于12mm；</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c）接地连接点应标以GB/T 5465.2中规定的保护接地符号,与接地系统连接的金属外壳部分可以视为接地导体；</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d）人可触及的电缆预制式电缆终端表面应涂覆半导电或导电屏蔽层，电缆终端半导电或导电屏蔽层连接后应与接地母线可靠连接；</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e）接地导体应采用铜质导体，在规定的接地故障条件下，额定短路持续时间为2s时，其电流密度应不超过110A/mm</w:t>
      </w:r>
      <w:r>
        <w:rPr>
          <w:rFonts w:hint="eastAsia" w:ascii="微软雅黑" w:hAnsi="微软雅黑" w:cs="微软雅黑"/>
          <w:szCs w:val="21"/>
          <w:vertAlign w:val="superscript"/>
        </w:rPr>
        <w:t xml:space="preserve">2</w:t>
      </w:r>
      <w:r>
        <w:rPr>
          <w:rFonts w:hint="eastAsia" w:ascii="微软雅黑" w:hAnsi="微软雅黑" w:cs="微软雅黑"/>
          <w:szCs w:val="21"/>
        </w:rPr>
        <w:t xml:space="preserve">，但最小截面积应不小于240mm</w:t>
      </w:r>
      <w:r>
        <w:rPr>
          <w:rFonts w:hint="eastAsia" w:ascii="微软雅黑" w:hAnsi="微软雅黑" w:cs="微软雅黑"/>
          <w:szCs w:val="21"/>
          <w:vertAlign w:val="superscript"/>
        </w:rPr>
        <w:t xml:space="preserve">2</w:t>
      </w:r>
      <w:r>
        <w:rPr>
          <w:rFonts w:hint="eastAsia" w:ascii="微软雅黑" w:hAnsi="微软雅黑" w:cs="微软雅黑"/>
          <w:szCs w:val="21"/>
        </w:rPr>
        <w:t xml:space="preserve">。接地导体的末端应用铜质端子与设备的接地系统相连接，端子的电气接触面积应与接地导体的截面相适应，但最小电气接触面积应不小于160mm</w:t>
      </w:r>
      <w:r>
        <w:rPr>
          <w:rFonts w:hint="eastAsia" w:ascii="微软雅黑" w:hAnsi="微软雅黑" w:cs="微软雅黑"/>
          <w:szCs w:val="21"/>
          <w:vertAlign w:val="superscript"/>
        </w:rPr>
        <w:t xml:space="preserve">2</w:t>
      </w:r>
      <w:r>
        <w:rPr>
          <w:rFonts w:hint="eastAsia" w:ascii="微软雅黑" w:hAnsi="微软雅黑" w:cs="微软雅黑"/>
          <w:szCs w:val="21"/>
        </w:rPr>
        <w:t xml:space="preserve">；</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f）外壳应设置接地极（扁铁）引入孔。</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3.9.3 </w:t>
      </w:r>
      <w:r>
        <w:rPr>
          <w:rFonts w:hint="eastAsia" w:ascii="微软雅黑" w:hAnsi="微软雅黑" w:cs="微软雅黑"/>
          <w:szCs w:val="21"/>
        </w:rPr>
        <w:t xml:space="preserve">外壳的接地按DL/T 404相关规定，并作如下补充：</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a）各个功能单元的外壳均应连接到接地导体上，除主回路和辅助回路之外的所有要接地的金属部件应直接或通过金属构件与接地导体相连接；</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b）金属部件和外壳到接地端子之间通过30A直流电流时压降不大于3V。功能单元内部的相互连接应保证电气连续性；</w:t>
      </w:r>
      <w:r>
        <w:rPr>
          <w:rFonts w:hint="eastAsia" w:ascii="微软雅黑" w:hAnsi="微软雅黑" w:cs="微软雅黑"/>
          <w:szCs w:val="21"/>
        </w:rPr>
      </w:r>
      <w:r/>
    </w:p>
    <w:p>
      <w:pPr>
        <w:pStyle w:val="1044"/>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c）环网柜的铰链应采用加强型，门和框架的接地端子间应用截面积不小于2.5mm</w:t>
      </w:r>
      <w:r>
        <w:rPr>
          <w:rFonts w:hint="eastAsia" w:ascii="微软雅黑" w:hAnsi="微软雅黑" w:cs="微软雅黑"/>
          <w:szCs w:val="21"/>
          <w:vertAlign w:val="superscript"/>
        </w:rPr>
        <w:t xml:space="preserve">2</w:t>
      </w:r>
      <w:r>
        <w:rPr>
          <w:rFonts w:hint="eastAsia" w:ascii="微软雅黑" w:hAnsi="微软雅黑" w:cs="微软雅黑"/>
          <w:szCs w:val="21"/>
        </w:rPr>
        <w:t xml:space="preserve">的软铜线连接；</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d）二次控制仪表室应设有专用独立的接地导体；</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e）当通过的电流引起热和机械应力时，应保障接地系统的连续性。</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3.10二次设备技术要求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3.10.1 </w:t>
      </w:r>
      <w:r>
        <w:rPr>
          <w:rFonts w:hint="eastAsia" w:ascii="微软雅黑" w:hAnsi="微软雅黑" w:cs="微软雅黑"/>
          <w:szCs w:val="21"/>
        </w:rPr>
        <w:t xml:space="preserve">电气接线</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a）环网柜内控制、电源、通信、接地等所有的二次线均用阻燃型软管或金属软管或线槽进行全密封，应采用塑料扎带固定，不允许采用粘贴方式固定；</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b）环网柜上的各电器元件应能单独拆装更换而不影响其它电器及导线束的固定。每件设备的装配和接线均应考虑在不中断相邻设备正常运行的条件下无阻碍地接触各机构器件并能完成拆卸、更换工作；</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c）环网柜内二次回路接线端子应具备防尘与阻燃功能；</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d）端子排应便于更换且接线方便。正、负电源之间以及经常带电的正电源与合闸或跳闸回路之间，必须至少以一个端子隔开；每个接线端子最多允许接入两根线；</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e）环网柜、二次回路及端子的编号均使用拉丁字母、阿拉伯数字，此编号均与所提供的文件、图纸相一致，接地端子应标示明确。电缆两端有标示牌、标明电缆编号及对端连接单元名称。二次接线芯线号头编号应用标签机打印，标识应齐全、统一，字迹清晰、不易脱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3.10.2后备电源</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环网柜可选配后备电源，线路停电后，自动投入备用电源，实现环网单元的电动分合闸；</w:t>
      </w:r>
      <w:r>
        <w:rPr>
          <w:rFonts w:hint="eastAsia" w:ascii="微软雅黑" w:hAnsi="微软雅黑" w:cs="微软雅黑"/>
          <w:szCs w:val="21"/>
        </w:rPr>
      </w:r>
      <w:r/>
    </w:p>
    <w:p>
      <w:pPr>
        <w:pStyle w:val="1044"/>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b) 后备电源在外部交流电源通电的情况下，蓄电池可自动进行浮充。在外部交流电源失电的情况下电池自动投入到系统中运行。后备电源应保证停电后能分合闸操作3次，维持终端及通信模块至少运行8小时。</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3.11环网柜的五防及联锁装置应满足DL 538、DL/T 593及SD 318的相关规定，同时满足以下要求。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3.11.1 </w:t>
      </w:r>
      <w:r>
        <w:rPr>
          <w:rFonts w:hint="eastAsia" w:ascii="微软雅黑" w:hAnsi="微软雅黑" w:cs="微软雅黑"/>
          <w:szCs w:val="21"/>
        </w:rPr>
        <w:t xml:space="preserve">环网柜应具有可靠的“五防”功能：防止误分、误合断路器；防止带负荷分、合隔离开关（插头）；防止带电合接地开关；防止带接地开关送电；防止误入带电间隔。</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3.11.2 </w:t>
      </w:r>
      <w:r>
        <w:rPr>
          <w:rFonts w:hint="eastAsia" w:ascii="微软雅黑" w:hAnsi="微软雅黑" w:cs="微软雅黑"/>
          <w:szCs w:val="21"/>
        </w:rPr>
        <w:t xml:space="preserve">进、出线柜应装有能反映进出线侧有无电压，并具有联锁信号输出功能的带电显示装置。当线路侧带电时，应有闭锁操作接地开关及电缆室门的装置。</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3.11.3 </w:t>
      </w:r>
      <w:r>
        <w:rPr>
          <w:rFonts w:hint="eastAsia" w:ascii="微软雅黑" w:hAnsi="微软雅黑" w:cs="微软雅黑"/>
          <w:szCs w:val="21"/>
        </w:rPr>
        <w:t xml:space="preserve">电缆室门与接地开关应同时具备电气联锁和机械闭锁。</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3.11.4</w:t>
      </w:r>
      <w:r>
        <w:rPr>
          <w:rFonts w:hint="eastAsia" w:ascii="微软雅黑" w:hAnsi="微软雅黑" w:cs="微软雅黑"/>
          <w:szCs w:val="21"/>
        </w:rPr>
        <w:t xml:space="preserve">环网柜电气闭锁应单独设置电源回路，且与其它回路独立。</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3.11.5</w:t>
      </w:r>
      <w:r>
        <w:rPr>
          <w:rFonts w:hint="eastAsia" w:ascii="微软雅黑" w:hAnsi="微软雅黑" w:cs="微软雅黑"/>
          <w:szCs w:val="21"/>
        </w:rPr>
        <w:t xml:space="preserve">负荷开关+熔断器组合电器的环网柜中，熔断器撞击器与负荷开关脱扣器之间的联动装置应在三相和单相两种条件下，在给定的撞击器型号（中型或重型）的最大和最小能量下及相应撞击器的动作方式（弹簧式或爆炸式的）下，应使负荷开关良好地操作。</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3.11.6</w:t>
      </w:r>
      <w:r>
        <w:rPr>
          <w:rFonts w:hint="eastAsia" w:ascii="微软雅黑" w:hAnsi="微软雅黑" w:cs="微软雅黑"/>
          <w:szCs w:val="21"/>
        </w:rPr>
        <w:t xml:space="preserve">环网柜开关部分采用断路器时，柜体仍应参照负荷开关+熔断器组合电器要求，配置相应的机构及连锁装置，并应具有防跳装置，对电磁操作机构应具有脱扣自我保护功能。</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3.11.7</w:t>
      </w:r>
      <w:r>
        <w:rPr>
          <w:rFonts w:hint="eastAsia" w:ascii="微软雅黑" w:hAnsi="微软雅黑" w:cs="微软雅黑"/>
          <w:szCs w:val="21"/>
        </w:rPr>
        <w:t xml:space="preserve">采用两工位隔离开关时，隔离开关与负荷开关间应有可靠的机械防误联锁。</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3.11.8</w:t>
      </w:r>
      <w:r>
        <w:rPr>
          <w:rFonts w:hint="eastAsia" w:ascii="微软雅黑" w:hAnsi="微软雅黑" w:cs="微软雅黑"/>
          <w:szCs w:val="21"/>
        </w:rPr>
        <w:t xml:space="preserve">对于不允许合环操作的场所，进线柜与分段柜应采取电气闭锁措施，条件具备时应同时采用机械闭锁；另接至配电变压器回路的负荷开关+熔断器组合电器或断路器柜应与变压器门闭锁，实现只有当配变柜开关打开后，方可打开变压器室门；当变压器门被误打开，对应配变柜开关应跳闸的功能。</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3.12电压互感器、电流互感器、避雷器应满足GB 1207、GB 1208及GB 11032的相关规定要求。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3.12.1 </w:t>
      </w:r>
      <w:r>
        <w:rPr>
          <w:rFonts w:hint="eastAsia" w:ascii="微软雅黑" w:hAnsi="微软雅黑" w:cs="微软雅黑"/>
          <w:szCs w:val="21"/>
        </w:rPr>
        <w:t xml:space="preserve">环网柜PT接线按需配置，一次侧可采用屏蔽型可触摸电缆终端连接。PT设高压侧熔断器，通过负荷开关连接于母线或进线单元。</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3.12.2 </w:t>
      </w:r>
      <w:r>
        <w:rPr>
          <w:rFonts w:hint="eastAsia" w:ascii="微软雅黑" w:hAnsi="微软雅黑" w:cs="微软雅黑"/>
          <w:szCs w:val="21"/>
        </w:rPr>
        <w:t xml:space="preserve">环网柜配备的避雷器宜选用复合绝缘金属氧化物避雷器。</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3.12.3 </w:t>
      </w:r>
      <w:r>
        <w:rPr>
          <w:rFonts w:hint="eastAsia" w:ascii="微软雅黑" w:hAnsi="微软雅黑" w:cs="微软雅黑"/>
          <w:szCs w:val="21"/>
        </w:rPr>
        <w:t xml:space="preserve">环网柜前门应有清晰明显的主接线示意图，柜顶设有横眉可装设间隔名称标识牌。环网单元前门表面应注明操作程序和注意事项。标志和标识牌的制作应符合GDW 742的规定。</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3.13铭牌技术要求符合DL/T 404相关规定，并作以下补充：</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3.13.1 </w:t>
      </w:r>
      <w:r>
        <w:rPr>
          <w:rFonts w:hint="eastAsia" w:ascii="微软雅黑" w:hAnsi="微软雅黑" w:cs="微软雅黑"/>
          <w:szCs w:val="21"/>
        </w:rPr>
        <w:t xml:space="preserve">操动机构应装设铭牌。铭牌应为S304不锈钢、铜材或丙烯酸树脂等不受气候影响和防腐蚀的材料制成，应采用中文印制。</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3.13.2 </w:t>
      </w:r>
      <w:r>
        <w:rPr>
          <w:rFonts w:hint="eastAsia" w:ascii="微软雅黑" w:hAnsi="微软雅黑" w:cs="微软雅黑"/>
          <w:szCs w:val="21"/>
        </w:rPr>
        <w:t xml:space="preserve">设备零件及其附件上的指示牌、警告牌以及其他标记也应采用中文印制，其规格即要求按Q/GDW 742。</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3.13.3 </w:t>
      </w:r>
      <w:r>
        <w:rPr>
          <w:rFonts w:hint="eastAsia" w:ascii="微软雅黑" w:hAnsi="微软雅黑" w:cs="微软雅黑"/>
          <w:szCs w:val="21"/>
        </w:rPr>
        <w:t xml:space="preserve">铭牌应标有在有关产品标准中规定的必要信息。</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3.13.4 铭</w:t>
      </w:r>
      <w:r>
        <w:rPr>
          <w:rFonts w:hint="eastAsia" w:ascii="微软雅黑" w:hAnsi="微软雅黑" w:cs="微软雅黑"/>
          <w:szCs w:val="21"/>
        </w:rPr>
        <w:t xml:space="preserve">牌中至少应包含以下内容：</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vertAlign w:val="subscript"/>
        </w:rPr>
      </w:pPr>
      <w:r>
        <w:rPr>
          <w:rFonts w:hint="eastAsia" w:ascii="微软雅黑" w:hAnsi="微软雅黑" w:cs="微软雅黑"/>
          <w:szCs w:val="21"/>
        </w:rPr>
        <w:t xml:space="preserve">- 额定电压U</w:t>
      </w:r>
      <w:r>
        <w:rPr>
          <w:rFonts w:hint="eastAsia" w:ascii="微软雅黑" w:hAnsi="微软雅黑" w:cs="微软雅黑"/>
          <w:szCs w:val="21"/>
          <w:vertAlign w:val="subscript"/>
        </w:rPr>
        <w:t xml:space="preserve">r</w:t>
      </w:r>
      <w:r>
        <w:rPr>
          <w:rFonts w:hint="eastAsia" w:ascii="微软雅黑" w:hAnsi="微软雅黑" w:cs="微软雅黑"/>
          <w:szCs w:val="21"/>
          <w:vertAlign w:val="subscript"/>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额定电流I</w:t>
      </w:r>
      <w:r>
        <w:rPr>
          <w:rFonts w:hint="eastAsia" w:ascii="微软雅黑" w:hAnsi="微软雅黑" w:cs="微软雅黑"/>
          <w:szCs w:val="21"/>
          <w:vertAlign w:val="subscript"/>
        </w:rPr>
        <w:t xml:space="preserve">r</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额定频率f</w:t>
      </w:r>
      <w:r>
        <w:rPr>
          <w:rFonts w:hint="eastAsia" w:ascii="微软雅黑" w:hAnsi="微软雅黑" w:cs="微软雅黑"/>
          <w:szCs w:val="21"/>
          <w:vertAlign w:val="subscript"/>
        </w:rPr>
        <w:t xml:space="preserve">r</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额定工频耐受电压U</w:t>
      </w:r>
      <w:r>
        <w:rPr>
          <w:rFonts w:hint="eastAsia" w:ascii="微软雅黑" w:hAnsi="微软雅黑" w:cs="微软雅黑"/>
          <w:szCs w:val="21"/>
          <w:vertAlign w:val="subscript"/>
        </w:rPr>
        <w:t xml:space="preserve">d</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额定雷电冲击耐受电压U</w:t>
      </w:r>
      <w:r>
        <w:rPr>
          <w:rFonts w:hint="eastAsia" w:ascii="微软雅黑" w:hAnsi="微软雅黑" w:cs="微软雅黑"/>
          <w:szCs w:val="21"/>
          <w:vertAlign w:val="subscript"/>
        </w:rPr>
        <w:t xml:space="preserve">p</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额定短时耐受电流I</w:t>
      </w:r>
      <w:r>
        <w:rPr>
          <w:rFonts w:hint="eastAsia" w:ascii="微软雅黑" w:hAnsi="微软雅黑" w:cs="微软雅黑"/>
          <w:szCs w:val="21"/>
          <w:vertAlign w:val="subscript"/>
        </w:rPr>
        <w:t xml:space="preserve">k</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额定峰值耐受电流I</w:t>
      </w:r>
      <w:r>
        <w:rPr>
          <w:rFonts w:hint="eastAsia" w:ascii="微软雅黑" w:hAnsi="微软雅黑" w:cs="微软雅黑"/>
          <w:szCs w:val="21"/>
          <w:vertAlign w:val="subscript"/>
        </w:rPr>
        <w:t xml:space="preserve">p</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额定短路持续时间t</w:t>
      </w:r>
      <w:r>
        <w:rPr>
          <w:rFonts w:hint="eastAsia" w:ascii="微软雅黑" w:hAnsi="微软雅黑" w:cs="微软雅黑"/>
          <w:szCs w:val="21"/>
          <w:vertAlign w:val="subscript"/>
        </w:rPr>
        <w:t xml:space="preserve">k</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额定操作电压U</w:t>
      </w:r>
      <w:r>
        <w:rPr>
          <w:rFonts w:hint="eastAsia" w:ascii="微软雅黑" w:hAnsi="微软雅黑" w:cs="微软雅黑"/>
          <w:szCs w:val="21"/>
          <w:vertAlign w:val="subscript"/>
        </w:rPr>
        <w:t xml:space="preserve">a</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vertAlign w:val="subscript"/>
        </w:rPr>
      </w:pPr>
      <w:r>
        <w:rPr>
          <w:rFonts w:hint="eastAsia" w:ascii="微软雅黑" w:hAnsi="微软雅黑" w:cs="微软雅黑"/>
          <w:szCs w:val="21"/>
        </w:rPr>
        <w:t xml:space="preserve">- 额定辅助电压U</w:t>
      </w:r>
      <w:r>
        <w:rPr>
          <w:rFonts w:hint="eastAsia" w:ascii="微软雅黑" w:hAnsi="微软雅黑" w:cs="微软雅黑"/>
          <w:szCs w:val="21"/>
          <w:vertAlign w:val="subscript"/>
        </w:rPr>
        <w:t xml:space="preserve">a</w:t>
      </w:r>
      <w:r>
        <w:rPr>
          <w:rFonts w:hint="eastAsia" w:ascii="微软雅黑" w:hAnsi="微软雅黑" w:cs="微软雅黑"/>
          <w:szCs w:val="21"/>
          <w:vertAlign w:val="subscript"/>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额定短路开断电流</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内部电弧等级</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制造厂名称</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制造年月</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产品型号</w:t>
      </w:r>
      <w:r>
        <w:rPr>
          <w:rFonts w:hint="eastAsia" w:ascii="微软雅黑" w:hAnsi="微软雅黑" w:cs="微软雅黑"/>
          <w:szCs w:val="21"/>
        </w:rPr>
      </w:r>
      <w:r/>
    </w:p>
    <w:p>
      <w:pPr>
        <w:pStyle w:val="1044"/>
        <w:ind w:firstLine="28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 出厂编号</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3.14配套提供相应规格10kV预制式电缆终端及操作工具，电缆附件应按JB/T 8144.1及GB/T 12706.4的规定，并满足以下条件。</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3.14.1 </w:t>
      </w:r>
      <w:r>
        <w:rPr>
          <w:rFonts w:hint="eastAsia" w:ascii="微软雅黑" w:hAnsi="微软雅黑" w:cs="微软雅黑"/>
          <w:szCs w:val="21"/>
        </w:rPr>
        <w:t xml:space="preserve">进出线电缆三相水平排列。采用10kV全屏蔽、全绝缘可触摸电缆终端，电缆应可靠固定，保证终端不受除重力以外的其它外力作用。</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3.14.2 </w:t>
      </w:r>
      <w:r>
        <w:rPr>
          <w:rFonts w:hint="eastAsia" w:ascii="微软雅黑" w:hAnsi="微软雅黑" w:cs="微软雅黑"/>
          <w:szCs w:val="21"/>
        </w:rPr>
        <w:t xml:space="preserve">电缆终端应采用硅橡胶、三元乙丙橡胶或其它性能更优的绝缘材料，电缆终端应采用内外层屏蔽、可触摸、预制式、可插拔、全绝缘及全密封结构。电缆附件应满足标称电压8.7/15kV(U</w:t>
      </w:r>
      <w:r>
        <w:rPr>
          <w:rFonts w:hint="eastAsia" w:ascii="微软雅黑" w:hAnsi="微软雅黑" w:cs="微软雅黑"/>
          <w:szCs w:val="21"/>
          <w:vertAlign w:val="subscript"/>
        </w:rPr>
        <w:t xml:space="preserve">m</w:t>
      </w:r>
      <w:r>
        <w:rPr>
          <w:rFonts w:hint="eastAsia" w:ascii="微软雅黑" w:hAnsi="微软雅黑" w:cs="微软雅黑"/>
          <w:szCs w:val="21"/>
        </w:rPr>
        <w:t xml:space="preserve">=17.5kV)电缆的配合使用要求，每一只电缆头外壳应可靠接地。暂时未接入电缆的电缆终端应装设绝缘封帽，绝缘封帽应可靠接地。</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3.15观察窗技术要求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3.15.1 </w:t>
      </w:r>
      <w:r>
        <w:rPr>
          <w:rFonts w:hint="eastAsia" w:ascii="微软雅黑" w:hAnsi="微软雅黑" w:cs="微软雅黑"/>
          <w:szCs w:val="21"/>
        </w:rPr>
        <w:t xml:space="preserve">观察窗的防护等级应至少达到外壳技术要求。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3.15.2 </w:t>
      </w:r>
      <w:r>
        <w:rPr>
          <w:rFonts w:hint="eastAsia" w:ascii="微软雅黑" w:hAnsi="微软雅黑" w:cs="微软雅黑"/>
          <w:szCs w:val="21"/>
        </w:rPr>
        <w:t xml:space="preserve">观察窗应使用机械强度与外壳相当的透明板，同时应有足够的电气间隙和静电屏蔽措施，防止形成危险的静电电荷，且通过观察窗可进行红外测温。</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3.15.3 </w:t>
      </w:r>
      <w:r>
        <w:rPr>
          <w:rFonts w:hint="eastAsia" w:ascii="微软雅黑" w:hAnsi="微软雅黑" w:cs="微软雅黑"/>
          <w:szCs w:val="21"/>
        </w:rPr>
        <w:t xml:space="preserve">主回路的带电部分与观察窗的可触及表面的绝缘应能耐受DL/T 593规定的对地和极间的试验电压。</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3.15.4 </w:t>
      </w:r>
      <w:r>
        <w:rPr>
          <w:rFonts w:hint="eastAsia" w:ascii="微软雅黑" w:hAnsi="微软雅黑" w:cs="微软雅黑"/>
          <w:szCs w:val="21"/>
        </w:rPr>
        <w:t xml:space="preserve">观察窗的玻璃应采用防爆型钢化玻璃，厚度不小于14mm，并在防爆玻璃增加屏蔽网。</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3.16</w:t>
      </w:r>
      <w:r>
        <w:rPr>
          <w:rFonts w:hint="eastAsia" w:ascii="微软雅黑" w:hAnsi="微软雅黑" w:cs="微软雅黑"/>
          <w:szCs w:val="21"/>
        </w:rPr>
        <w:t xml:space="preserve">限制并避免环网柜内部电弧故障的要求：</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3.16.1</w:t>
      </w:r>
      <w:r>
        <w:rPr>
          <w:rFonts w:hint="eastAsia" w:ascii="微软雅黑" w:hAnsi="微软雅黑" w:cs="微软雅黑"/>
          <w:szCs w:val="21"/>
        </w:rPr>
        <w:t xml:space="preserve">环网柜应通过内部燃弧试验。</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3.16.2</w:t>
      </w:r>
      <w:r>
        <w:rPr>
          <w:rFonts w:hint="eastAsia" w:ascii="微软雅黑" w:hAnsi="微软雅黑" w:cs="微软雅黑"/>
          <w:szCs w:val="21"/>
        </w:rPr>
        <w:t xml:space="preserve">环网柜的各隔室之间，应满足正常使用条件和限制隔室内部电弧影响的要求；并能防止因本身缺陷、异常或误操作导致的内电弧伤及工作人员，能限制电弧的燃烧范围。</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3.16.3</w:t>
      </w:r>
      <w:r>
        <w:rPr>
          <w:rFonts w:hint="eastAsia" w:ascii="微软雅黑" w:hAnsi="微软雅黑" w:cs="微软雅黑"/>
          <w:szCs w:val="21"/>
        </w:rPr>
        <w:t xml:space="preserve">应采取防止人为造成内部故障的措施，还应考虑到由于柜内组件动作造成的故障引起隔室内过压及压力释放装置喷出气体，可能对人员和其他正常运行设备的影响。</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3.16.4除二次小室外，在高压室、母线室和电缆室的均设有排气通道和泄压装置，当产生内部故障电弧时，泄压通道将被自动打开，释放内部压力，释放的电弧或气体不得危及操作及巡视人员人身安全和其它环网设备安</w:t>
      </w:r>
      <w:r>
        <w:rPr>
          <w:rFonts w:hint="eastAsia" w:ascii="微软雅黑" w:hAnsi="微软雅黑" w:cs="微软雅黑"/>
          <w:szCs w:val="21"/>
        </w:rPr>
        <w:t xml:space="preserve">全</w:t>
      </w:r>
      <w:r>
        <w:rPr>
          <w:rFonts w:hint="eastAsia" w:ascii="微软雅黑" w:hAnsi="微软雅黑" w:cs="微软雅黑"/>
          <w:szCs w:val="21"/>
        </w:rPr>
        <w:t xml:space="preserve">。</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3.17户外环网柜外箱体要求</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3.17.1</w:t>
      </w:r>
      <w:r>
        <w:rPr>
          <w:rFonts w:hint="eastAsia" w:ascii="微软雅黑" w:hAnsi="微软雅黑" w:cs="微软雅黑"/>
          <w:szCs w:val="21"/>
        </w:rPr>
        <w:t xml:space="preserve">外箱体应采用厚度≥2mm、性能不低于S304不锈钢或GRC材料（玻璃纤维增强水泥）等材料，外壳应有足够的机械强度，在起吊、运输和安装时不应变形或损伤。外箱体防护等级应不低于IP43。</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3.17.2</w:t>
      </w:r>
      <w:r>
        <w:rPr>
          <w:rFonts w:hint="eastAsia" w:ascii="微软雅黑" w:hAnsi="微软雅黑" w:cs="微软雅黑"/>
          <w:szCs w:val="21"/>
        </w:rPr>
        <w:t xml:space="preserve">金属材质外箱体应采取防腐涂覆工艺处理，涂层均匀、厚度一致，涂层应有牢固的附着力，保证20年不可出现明显可见锈斑，箱体外壳具有防贴小广告功能。</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3.17.3外箱体颜色应与周围环境相协调，不锈钢材质宜选用国网绿，箱壳表面应有明显的反光警示标志，保证15年不褪色。</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3.17.4外箱体应设置明显的标志，如设备名称、有电危险等。标志和标识的制作应符合GDW</w:t>
      </w:r>
      <w:r>
        <w:rPr>
          <w:rFonts w:hint="eastAsia" w:ascii="微软雅黑" w:hAnsi="微软雅黑" w:cs="微软雅黑"/>
          <w:szCs w:val="21"/>
        </w:rPr>
        <w:t xml:space="preserve"> 742的规定。</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3.17.5外箱体顶盖的倾斜度应不小于10°，并应装设防雨檐。门开启角度应大于105°，并设定位装置；装设暗锁，并设外挂锁孔。门锁具有防盗、防锈及防堵功能。</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3.17.6外箱体应设有足够的自然通风口和隔热措施，保证在4.1条规定的条件下运行时，所有电器设备的温升不超过其允许值，并且不得因此降低环网柜的外箱体防护等级。</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3.17.7外箱体底部应配备4根可伸缩式起吊销，起吊销应能承载整台设备的重量。</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3.17.8</w:t>
      </w:r>
      <w:r>
        <w:rPr>
          <w:rFonts w:hint="eastAsia" w:ascii="微软雅黑" w:hAnsi="微软雅黑" w:cs="微软雅黑"/>
          <w:szCs w:val="21"/>
        </w:rPr>
        <w:t xml:space="preserve">户外环网柜应设有独立的配电自动化单元安装空间，按配电自动化终端（DTU）遮蔽立式放置，宽度空间不低于600mm。箱内DTU终端具体要求详见“配电自动化终端技术规范”。</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3.18二次接口要求</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3.18</w:t>
      </w:r>
      <w:r>
        <w:rPr>
          <w:rFonts w:hint="eastAsia" w:ascii="微软雅黑" w:hAnsi="微软雅黑" w:cs="微软雅黑"/>
          <w:szCs w:val="21"/>
        </w:rPr>
        <w:t xml:space="preserve">.1　</w:t>
      </w:r>
      <w:r>
        <w:rPr>
          <w:rFonts w:hint="eastAsia" w:ascii="微软雅黑" w:hAnsi="微软雅黑" w:cs="微软雅黑"/>
          <w:szCs w:val="21"/>
        </w:rPr>
        <w:t xml:space="preserve">总体要求</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环网柜应具备规范要求的“五防”闭锁功能。</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环网柜二次控制仪表室、电缆室应有照明装置，空气绝缘柜内应具备驱潮及加热设施。</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二次控制仪表室应设有专用接地铜排，截面不小于100mm</w:t>
      </w:r>
      <w:r>
        <w:rPr>
          <w:rFonts w:hint="eastAsia" w:ascii="微软雅黑" w:hAnsi="微软雅黑" w:cs="微软雅黑"/>
          <w:szCs w:val="21"/>
          <w:vertAlign w:val="superscript"/>
        </w:rPr>
        <w:t xml:space="preserve">2</w:t>
      </w:r>
      <w:r>
        <w:rPr>
          <w:rFonts w:hint="eastAsia" w:ascii="微软雅黑" w:hAnsi="微软雅黑" w:cs="微软雅黑"/>
          <w:szCs w:val="21"/>
        </w:rPr>
        <w:t xml:space="preserve">，铜排两端应装设足够的螺栓以备接至变电站的等电位接地网上。</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3.18.2　回路要求</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环网柜应装设负荷开关、断路器远方和就地操作切换把手。</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应具备监视断路器分合闸状态外回路。</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环网柜中对控制或辅助功能正常要求的辅助触点之外，每台环网柜应提供六动合、六动断辅助触点供用户使用，并应引至端子排上。剩余的辅助开关触点全部引至端子排上。</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3.18.3　电源配置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环网柜设交直流电源小母线，各环网柜内按照交流、直流及保护、控制、联锁等不同要求设置电源小空开，空开上口与柜顶小母线连接。</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对电动操作机构电压为直流、且暂未配置直流电源的站所中，应在环网柜PT间隔内配置AC220V-DC48V（或DC110V）交直流转换模块，功率不小于200W。</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3.18.4　端子排及接线要求</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端子排按不同功能进行划分，端子排布置应考虑各插件的位置，避免接线相互交叉。</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端子排列应符合标准，正、负极之间应有间隔，断路器的跳闸和合闸回路、直流（+）电源和跳合闸回路不能接在相邻端子上，并留有一定的备用端子等，端子排应编号。</w:t>
      </w:r>
      <w:r>
        <w:rPr>
          <w:rFonts w:hint="eastAsia" w:ascii="微软雅黑" w:hAnsi="微软雅黑" w:cs="微软雅黑"/>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szCs w:val="21"/>
        </w:rPr>
        <w:t xml:space="preserve">按照“功能分段”的原则，环网柜内的端子排应按照如下要求分别设置：电流互感器回路、电压互感器回路、交流电源回路、直流电源回路、负荷开关、断路器的控制、操作、“五防”闭锁回路。其中“五防”闭锁回路按照相关“五防”要求完成，应注意预留环网柜外闭锁条件接口。</w:t>
      </w: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3.18.5　环网柜端子排接线图</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0" distR="0" simplePos="0" relativeHeight="250609660" behindDoc="1" locked="0" layoutInCell="1" allowOverlap="1">
                <wp:simplePos x="0" y="0"/>
                <wp:positionH relativeFrom="column">
                  <wp:posOffset>1270635</wp:posOffset>
                </wp:positionH>
                <wp:positionV relativeFrom="paragraph">
                  <wp:posOffset>455930</wp:posOffset>
                </wp:positionV>
                <wp:extent cx="2801620" cy="416242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801620" cy="416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60;o:allowoverlap:true;o:allowincell:true;mso-position-horizontal-relative:text;margin-left:100.0pt;mso-position-horizontal:absolute;mso-position-vertical-relative:text;margin-top:35.9pt;mso-position-vertical:absolute;width:220.6pt;height:327.8pt;mso-wrap-distance-left:0.0pt;mso-wrap-distance-top:0.0pt;mso-wrap-distance-right:0.0pt;mso-wrap-distance-bottom:0.0pt;" wrapcoords="99963 -8 0 0 0 99995 99963 100005 37 100005 100000 99995 100000 0 37 -8 99963 -8" stroked="f">
                <v:path textboxrect="0,0,0,0"/>
                <w10:wrap type="tight"/>
                <v:imagedata r:id="rId21" o:title=""/>
              </v:shape>
            </w:pict>
          </mc:Fallback>
        </mc:AlternateContent>
      </w:r>
      <w:r>
        <w:rPr>
          <w:rFonts w:hint="eastAsia" w:ascii="微软雅黑" w:hAnsi="微软雅黑" w:cs="微软雅黑"/>
          <w:szCs w:val="21"/>
        </w:rPr>
        <w:t xml:space="preserve">各类型环网柜端子排接口标准如图1～图3所示。</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t xml:space="preserve">图1　进、出线柜端子排图</w:t>
      </w:r>
      <w:r>
        <w:rPr>
          <w:rFonts w:hint="eastAsia" w:ascii="微软雅黑" w:hAnsi="微软雅黑" w:cs="微软雅黑"/>
          <w:szCs w:val="21"/>
        </w:rPr>
      </w:r>
      <w:r/>
    </w:p>
    <w:p>
      <w:pPr>
        <w:pStyle w:val="1044"/>
        <w:jc w:val="center"/>
        <w:spacing w:after="100" w:line="440" w:lineRule="exact"/>
        <w:rPr>
          <w:rFonts w:hint="eastAsia"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1" allowOverlap="1">
                <wp:simplePos x="0" y="0"/>
                <wp:positionH relativeFrom="column">
                  <wp:posOffset>1456055</wp:posOffset>
                </wp:positionH>
                <wp:positionV relativeFrom="paragraph">
                  <wp:posOffset>123825</wp:posOffset>
                </wp:positionV>
                <wp:extent cx="2660650" cy="4724400"/>
                <wp:effectExtent l="0" t="0" r="0" b="0"/>
                <wp:wrapSquare wrapText="bothSides"/>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60650" cy="47243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114.6pt;mso-position-horizontal:absolute;mso-position-vertical-relative:text;margin-top:9.8pt;mso-position-vertical:absolute;width:209.5pt;height:372.0pt;mso-wrap-distance-left:0.0pt;mso-wrap-distance-top:0.0pt;mso-wrap-distance-right:0.0pt;mso-wrap-distance-bottom:0.0pt;" stroked="f">
                <v:path textboxrect="0,0,0,0"/>
                <w10:wrap type="square"/>
                <v:imagedata r:id="rId22" o:title=""/>
              </v:shape>
            </w:pict>
          </mc:Fallback>
        </mc:AlternateContent>
      </w:r>
      <w:r>
        <w:rPr>
          <w:rFonts w:hint="eastAsia" w:ascii="微软雅黑" w:hAnsi="微软雅黑" w:cs="微软雅黑"/>
          <w:szCs w:val="21"/>
        </w:rPr>
      </w:r>
      <w:r/>
    </w:p>
    <w:p>
      <w:pPr>
        <w:pStyle w:val="1044"/>
        <w:jc w:val="center"/>
        <w:spacing w:after="10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after="100"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after="160" w:line="440" w:lineRule="exact"/>
        <w:rPr>
          <w:rFonts w:hint="eastAsia" w:ascii="微软雅黑" w:hAnsi="微软雅黑" w:cs="微软雅黑"/>
          <w:szCs w:val="21"/>
        </w:rPr>
      </w:pPr>
      <w:r>
        <w:rPr>
          <w:rFonts w:hint="eastAsia" w:ascii="微软雅黑" w:hAnsi="微软雅黑" w:cs="微软雅黑"/>
          <w:szCs w:val="21"/>
        </w:rPr>
        <w:t xml:space="preserve">图2　断路器柜端子排图</w:t>
      </w:r>
      <w:r>
        <w:rPr>
          <w:rFonts w:hint="eastAsia" w:ascii="微软雅黑" w:hAnsi="微软雅黑" w:cs="微软雅黑"/>
          <w:szCs w:val="21"/>
        </w:rPr>
      </w:r>
      <w:r/>
    </w:p>
    <w:p>
      <w:pPr>
        <w:pStyle w:val="1044"/>
        <w:jc w:val="center"/>
        <w:spacing w:after="100"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tab/>
      </w:r>
      <w:r>
        <w:rPr>
          <w:rFonts w:hint="eastAsia" w:ascii="微软雅黑" w:hAnsi="微软雅黑" w:cs="微软雅黑"/>
          <w:szCs w:val="21"/>
        </w:rPr>
        <w:tab/>
      </w:r>
      <w:r>
        <w:rPr>
          <w:rFonts w:hint="eastAsia" w:ascii="微软雅黑" w:hAnsi="微软雅黑" w:cs="微软雅黑"/>
          <w:szCs w:val="21"/>
        </w:rPr>
        <w:tab/>
      </w:r>
      <w:r>
        <w:rPr>
          <w:rFonts w:hint="eastAsia" w:ascii="微软雅黑" w:hAnsi="微软雅黑" w:cs="微软雅黑"/>
          <w:szCs w:val="21"/>
        </w:rPr>
        <w:t xml:space="preserve">　</w:t>
      </w:r>
      <w:r>
        <w:rPr>
          <w:rFonts w:hint="eastAsia" w:ascii="微软雅黑" w:hAnsi="微软雅黑" w:cs="微软雅黑"/>
          <w:szCs w:val="21"/>
        </w:rPr>
        <w:tab/>
      </w:r>
      <w:r>
        <w:rPr>
          <w:rFonts w:hint="eastAsia" w:ascii="微软雅黑" w:hAnsi="微软雅黑" w:cs="微软雅黑"/>
          <w:szCs w:val="21"/>
        </w:rPr>
        <w:tab/>
      </w: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1" allowOverlap="1">
                <wp:simplePos x="0" y="0"/>
                <wp:positionH relativeFrom="column">
                  <wp:posOffset>377825</wp:posOffset>
                </wp:positionH>
                <wp:positionV relativeFrom="paragraph">
                  <wp:posOffset>-11429</wp:posOffset>
                </wp:positionV>
                <wp:extent cx="2627630" cy="4827905"/>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627630" cy="4827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6;o:allowoverlap:true;o:allowincell:true;mso-position-horizontal-relative:text;margin-left:29.8pt;mso-position-horizontal:absolute;mso-position-vertical-relative:text;margin-top:-0.9pt;mso-position-vertical:absolute;width:206.9pt;height:380.1pt;mso-wrap-distance-left:0.0pt;mso-wrap-distance-top:0.0pt;mso-wrap-distance-right:0.0pt;mso-wrap-distance-bottom:0.0pt;" stroked="f">
                <v:path textboxrect="0,0,0,0"/>
                <w10:wrap type="square"/>
                <v:imagedata r:id="rId23" o:title=""/>
              </v:shape>
            </w:pict>
          </mc:Fallback>
        </mc:AlternateContent>
      </w: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r>
      <w:r/>
    </w:p>
    <w:p>
      <w:pPr>
        <w:pStyle w:val="1044"/>
        <w:ind w:left="850" w:firstLine="425"/>
        <w:spacing w:before="60" w:after="160" w:line="440" w:lineRule="exact"/>
        <w:rPr>
          <w:rFonts w:hint="eastAsia" w:ascii="微软雅黑" w:hAnsi="微软雅黑" w:cs="微软雅黑"/>
          <w:szCs w:val="21"/>
        </w:rPr>
      </w:pPr>
      <w:r>
        <w:rPr>
          <w:rFonts w:hint="eastAsia" w:ascii="微软雅黑" w:hAnsi="微软雅黑" w:cs="微软雅黑"/>
          <w:szCs w:val="21"/>
        </w:rPr>
        <w:t xml:space="preserve">图3　电压互感器柜端子排图</w:t>
      </w:r>
      <w:r>
        <w:rPr>
          <w:rFonts w:hint="eastAsia" w:ascii="微软雅黑" w:hAnsi="微软雅黑" w:cs="微软雅黑"/>
          <w:szCs w:val="21"/>
        </w:rPr>
      </w:r>
      <w:r/>
    </w:p>
    <w:p>
      <w:pPr>
        <w:pStyle w:val="1044"/>
        <w:numPr>
          <w:ilvl w:val="0"/>
          <w:numId w:val="11"/>
        </w:numPr>
        <w:keepLines/>
        <w:keepNext/>
        <w:spacing w:line="440" w:lineRule="exact"/>
        <w:rPr>
          <w:rFonts w:hint="eastAsia" w:ascii="微软雅黑" w:hAnsi="微软雅黑" w:cs="微软雅黑"/>
          <w:b/>
          <w:szCs w:val="21"/>
        </w:rPr>
        <w:outlineLvl w:val="0"/>
      </w:pPr>
      <w:r/>
      <w:bookmarkStart w:id="174" w:name="_Toc179977344"/>
      <w:r>
        <w:rPr>
          <w:rFonts w:hint="eastAsia" w:ascii="微软雅黑" w:hAnsi="微软雅黑" w:cs="微软雅黑"/>
          <w:b/>
          <w:szCs w:val="21"/>
        </w:rPr>
        <w:t xml:space="preserve">技术参数要求</w:t>
      </w:r>
      <w:bookmarkEnd w:id="174"/>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技术参数特性表是对采购设备的基础技术参数要求，投标人应对技术参数特性表中标准参数值进行响应。10kV环网柜技术参数特性见表1。</w:t>
      </w:r>
      <w:r>
        <w:rPr>
          <w:rFonts w:hint="eastAsia" w:ascii="微软雅黑" w:hAnsi="微软雅黑" w:cs="微软雅黑"/>
          <w:szCs w:val="21"/>
        </w:rPr>
      </w:r>
      <w:r/>
    </w:p>
    <w:p>
      <w:pPr>
        <w:pStyle w:val="1044"/>
        <w:jc w:val="center"/>
        <w:spacing w:before="1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表1　</w:t>
      </w:r>
      <w:r>
        <w:rPr>
          <w:rFonts w:hint="eastAsia" w:ascii="微软雅黑" w:hAnsi="微软雅黑" w:cs="微软雅黑"/>
          <w:color w:val="000000"/>
          <w:spacing w:val="30"/>
          <w:szCs w:val="21"/>
        </w:rPr>
        <w:t xml:space="preserve">技术参数特性</w:t>
      </w:r>
      <w:r>
        <w:rPr>
          <w:rFonts w:hint="eastAsia" w:ascii="微软雅黑" w:hAnsi="微软雅黑" w:cs="微软雅黑"/>
          <w:color w:val="000000"/>
          <w:szCs w:val="21"/>
        </w:rPr>
        <w:t xml:space="preserve">表</w:t>
      </w:r>
      <w:r>
        <w:rPr>
          <w:rFonts w:hint="eastAsia" w:ascii="微软雅黑" w:hAnsi="微软雅黑" w:cs="微软雅黑"/>
          <w:color w:val="000000"/>
          <w:szCs w:val="21"/>
        </w:rPr>
      </w:r>
      <w:r/>
    </w:p>
    <w:tbl>
      <w:tblPr>
        <w:tblW w:w="941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029"/>
        <w:gridCol w:w="27"/>
        <w:gridCol w:w="2395"/>
        <w:gridCol w:w="997"/>
        <w:gridCol w:w="3056"/>
      </w:tblGrid>
      <w:tr>
        <w:trPr>
          <w:tblHeader/>
        </w:trPr>
        <w:tc>
          <w:tcPr>
            <w:tcW w:w="90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序号</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名　　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单位</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标准参数值</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一</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环网柜共用参数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12</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绝缘介质</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空气</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灭弧室类型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SF</w:t>
            </w:r>
            <w:r>
              <w:rPr>
                <w:rFonts w:hint="eastAsia" w:ascii="微软雅黑" w:hAnsi="微软雅黑" w:cs="微软雅黑"/>
                <w:color w:val="000000"/>
                <w:szCs w:val="21"/>
                <w:vertAlign w:val="subscript"/>
              </w:rPr>
              <w:t xml:space="preserve">6</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额定频率</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Hz</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0" w:after="5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blHeade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630A</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温升试验电流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vertAlign w:val="subscript"/>
              </w:rPr>
            </w:pPr>
            <w:r>
              <w:rPr>
                <w:rFonts w:hint="eastAsia" w:ascii="微软雅黑" w:hAnsi="微软雅黑" w:cs="微软雅黑"/>
                <w:color w:val="000000"/>
                <w:szCs w:val="21"/>
              </w:rPr>
              <w:t xml:space="preserve">1.1</w:t>
            </w:r>
            <w:r>
              <w:rPr>
                <w:rFonts w:hint="eastAsia" w:ascii="微软雅黑" w:hAnsi="微软雅黑" w:cs="微软雅黑"/>
                <w:i/>
                <w:color w:val="000000"/>
                <w:szCs w:val="21"/>
              </w:rPr>
              <w:t xml:space="preserve">I</w:t>
            </w:r>
            <w:r>
              <w:rPr>
                <w:rFonts w:hint="eastAsia" w:ascii="微软雅黑" w:hAnsi="微软雅黑" w:cs="微软雅黑"/>
                <w:color w:val="000000"/>
                <w:szCs w:val="21"/>
                <w:vertAlign w:val="subscript"/>
              </w:rPr>
              <w:t xml:space="preserve">r</w:t>
            </w:r>
            <w:r>
              <w:rPr>
                <w:rFonts w:hint="eastAsia" w:ascii="微软雅黑" w:hAnsi="微软雅黑" w:cs="微软雅黑"/>
                <w:color w:val="000000"/>
                <w:szCs w:val="21"/>
                <w:vertAlign w:val="subscript"/>
              </w:rPr>
            </w:r>
            <w:r/>
          </w:p>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i/>
                <w:color w:val="000000"/>
                <w:szCs w:val="21"/>
              </w:rPr>
              <w:t xml:space="preserve">I</w:t>
            </w:r>
            <w:r>
              <w:rPr>
                <w:rFonts w:hint="eastAsia" w:ascii="微软雅黑" w:hAnsi="微软雅黑" w:cs="微软雅黑"/>
                <w:color w:val="000000"/>
                <w:szCs w:val="21"/>
                <w:vertAlign w:val="subscript"/>
              </w:rPr>
              <w:t xml:space="preserve">r，</w:t>
            </w:r>
            <w:r>
              <w:rPr>
                <w:rFonts w:hint="eastAsia" w:ascii="微软雅黑" w:hAnsi="微软雅黑" w:cs="微软雅黑"/>
                <w:color w:val="000000"/>
                <w:szCs w:val="21"/>
              </w:rPr>
              <w:t xml:space="preserve">熔断器组合柜）</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额定工频1min耐受电压（相对地）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42</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额定雷电冲击耐受电压峰值（1.2/50s）（相对地）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9</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额定短路开断电流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w:t>
            </w:r>
            <w:r>
              <w:rPr>
                <w:rFonts w:hint="eastAsia" w:ascii="微软雅黑" w:hAnsi="微软雅黑" w:cs="微软雅黑"/>
                <w:color w:val="000000"/>
                <w:szCs w:val="21"/>
              </w:rPr>
              <w:t xml:space="preserve">31.5（熔断器）</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额定短路关合电流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额定短时耐受电流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20/4</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额定峰值耐受电流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电弧电流及燃弧持续时间</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≥20/0.5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额定有功负载条件下开断次数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次</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辅助和控制回路短时工频耐受电压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16</w:t>
            </w: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供电电源</w:t>
            </w:r>
            <w:r>
              <w:rPr>
                <w:rFonts w:hint="eastAsia" w:ascii="微软雅黑" w:hAnsi="微软雅黑" w:cs="微软雅黑"/>
                <w:color w:val="000000"/>
                <w:szCs w:val="21"/>
              </w:rPr>
            </w:r>
            <w:r/>
          </w:p>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（以图纸为准)</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控制回路（独立）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DC</w:t>
            </w:r>
            <w:r>
              <w:rPr>
                <w:rFonts w:hint="eastAsia" w:ascii="微软雅黑" w:hAnsi="微软雅黑" w:cs="微软雅黑"/>
                <w:bCs/>
                <w:color w:val="000000"/>
                <w:szCs w:val="21"/>
              </w:rPr>
              <w:t xml:space="preserve"> 48/DC110</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辅助回路</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DC</w:t>
            </w:r>
            <w:r>
              <w:rPr>
                <w:rFonts w:hint="eastAsia" w:ascii="微软雅黑" w:hAnsi="微软雅黑" w:cs="微软雅黑"/>
                <w:bCs/>
                <w:color w:val="000000"/>
                <w:szCs w:val="21"/>
              </w:rPr>
              <w:t xml:space="preserve"> 48/DC110</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储能回路（独立）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DC</w:t>
            </w:r>
            <w:r>
              <w:rPr>
                <w:rFonts w:hint="eastAsia" w:ascii="微软雅黑" w:hAnsi="微软雅黑" w:cs="微软雅黑"/>
                <w:bCs/>
                <w:color w:val="000000"/>
                <w:szCs w:val="21"/>
              </w:rPr>
              <w:t xml:space="preserve"> 48/DC110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使用寿命</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年</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≥40</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18</w:t>
            </w: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设备尺寸</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单台环网柜整体尺寸</w:t>
            </w:r>
            <w:r>
              <w:rPr>
                <w:rFonts w:hint="eastAsia" w:ascii="微软雅黑" w:hAnsi="微软雅黑" w:cs="微软雅黑"/>
                <w:color w:val="000000"/>
                <w:szCs w:val="21"/>
              </w:rPr>
            </w:r>
            <w:r/>
          </w:p>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（长×宽×高）</w:t>
            </w:r>
            <w:r>
              <w:rPr>
                <w:rFonts w:hint="eastAsia" w:ascii="微软雅黑" w:hAnsi="微软雅黑" w:cs="微软雅黑"/>
                <w:color w:val="000000"/>
                <w:szCs w:val="21"/>
              </w:rPr>
            </w:r>
            <w:r/>
          </w:p>
        </w:tc>
        <w:tc>
          <w:tcPr>
            <w:tcW w:w="997"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mm×</w:t>
            </w:r>
            <w:r>
              <w:rPr>
                <w:rFonts w:hint="eastAsia" w:ascii="微软雅黑" w:hAnsi="微软雅黑" w:cs="微软雅黑"/>
                <w:color w:val="000000"/>
                <w:szCs w:val="21"/>
              </w:rPr>
            </w:r>
            <w:r/>
          </w:p>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mm×mm</w:t>
            </w:r>
            <w:r>
              <w:rPr>
                <w:rFonts w:hint="eastAsia" w:ascii="微软雅黑" w:hAnsi="微软雅黑" w:cs="微软雅黑"/>
                <w:color w:val="000000"/>
                <w:szCs w:val="21"/>
              </w:rPr>
            </w:r>
            <w:r/>
          </w:p>
        </w:tc>
        <w:tc>
          <w:tcPr>
            <w:tcW w:w="3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设备的最大运输尺寸</w:t>
            </w:r>
            <w:r>
              <w:rPr>
                <w:rFonts w:hint="eastAsia" w:ascii="微软雅黑" w:hAnsi="微软雅黑" w:cs="微软雅黑"/>
                <w:color w:val="000000"/>
                <w:szCs w:val="21"/>
              </w:rPr>
            </w:r>
            <w:r/>
          </w:p>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（长×宽×高）</w:t>
            </w:r>
            <w:r>
              <w:rPr>
                <w:rFonts w:hint="eastAsia" w:ascii="微软雅黑" w:hAnsi="微软雅黑" w:cs="微软雅黑"/>
                <w:color w:val="000000"/>
                <w:szCs w:val="21"/>
              </w:rPr>
            </w:r>
            <w:r/>
          </w:p>
        </w:tc>
        <w:tc>
          <w:tcPr>
            <w:tcW w:w="997"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19</w:t>
            </w: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防护等级</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柜体外壳</w:t>
            </w:r>
            <w:r>
              <w:rPr>
                <w:rFonts w:hint="eastAsia" w:ascii="微软雅黑" w:hAnsi="微软雅黑" w:cs="微软雅黑"/>
                <w:color w:val="000000"/>
                <w:szCs w:val="21"/>
              </w:rPr>
            </w:r>
            <w:r/>
          </w:p>
        </w:tc>
        <w:tc>
          <w:tcPr>
            <w:tcW w:w="997"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IP4X</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隔室间</w:t>
            </w:r>
            <w:r>
              <w:rPr>
                <w:rFonts w:hint="eastAsia" w:ascii="微软雅黑" w:hAnsi="微软雅黑" w:cs="微软雅黑"/>
                <w:color w:val="000000"/>
                <w:szCs w:val="21"/>
              </w:rPr>
            </w:r>
            <w:r/>
          </w:p>
        </w:tc>
        <w:tc>
          <w:tcPr>
            <w:tcW w:w="997" w:type="dxa"/>
            <w:vAlign w:val="center"/>
            <w:vMerge w:val="continue"/>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IP2XC</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SF</w:t>
            </w:r>
            <w:r>
              <w:rPr>
                <w:rFonts w:hint="eastAsia" w:ascii="微软雅黑" w:hAnsi="微软雅黑" w:cs="微软雅黑"/>
                <w:color w:val="000000"/>
                <w:szCs w:val="21"/>
                <w:vertAlign w:val="subscript"/>
              </w:rPr>
              <w:t xml:space="preserve">6</w:t>
            </w:r>
            <w:r>
              <w:rPr>
                <w:rFonts w:hint="eastAsia" w:ascii="微软雅黑" w:hAnsi="微软雅黑" w:cs="微软雅黑"/>
                <w:color w:val="000000"/>
                <w:szCs w:val="21"/>
              </w:rPr>
              <w:t xml:space="preserve">气体额定压力（20℃表压）</w:t>
            </w:r>
            <w:r>
              <w:rPr>
                <w:rFonts w:hint="eastAsia" w:ascii="微软雅黑" w:hAnsi="微软雅黑" w:cs="微软雅黑"/>
                <w:color w:val="000000"/>
                <w:szCs w:val="21"/>
              </w:rPr>
            </w:r>
            <w:r/>
          </w:p>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（充气柜适用）</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MPa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SF</w:t>
            </w:r>
            <w:r>
              <w:rPr>
                <w:rFonts w:hint="eastAsia" w:ascii="微软雅黑" w:hAnsi="微软雅黑" w:cs="微软雅黑"/>
                <w:color w:val="000000"/>
                <w:szCs w:val="21"/>
                <w:vertAlign w:val="subscript"/>
              </w:rPr>
              <w:t xml:space="preserve">6</w:t>
            </w:r>
            <w:r>
              <w:rPr>
                <w:rFonts w:hint="eastAsia" w:ascii="微软雅黑" w:hAnsi="微软雅黑" w:cs="微软雅黑"/>
                <w:color w:val="000000"/>
                <w:szCs w:val="21"/>
              </w:rPr>
              <w:t xml:space="preserve">气体年漏气率（充气柜适用）</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≤0.1%</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操动机构型式或型号</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电动，并具备手动操作功能</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备用辅助接点</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6动合6动断</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二</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配网自动化</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自动化配置</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6" w:after="56"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带配电网自动化接口</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三</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负荷开关参数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630</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W w:w="2029"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额定工频1min</w:t>
            </w:r>
            <w:r>
              <w:rPr>
                <w:rFonts w:hint="eastAsia" w:ascii="微软雅黑" w:hAnsi="微软雅黑" w:cs="微软雅黑"/>
                <w:color w:val="000000"/>
                <w:szCs w:val="21"/>
              </w:rPr>
            </w:r>
            <w:r/>
          </w:p>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耐受电压</w:t>
            </w:r>
            <w:r>
              <w:rPr>
                <w:rFonts w:hint="eastAsia" w:ascii="微软雅黑" w:hAnsi="微软雅黑" w:cs="微软雅黑"/>
                <w:color w:val="000000"/>
                <w:szCs w:val="21"/>
              </w:rPr>
            </w:r>
            <w:r/>
          </w:p>
        </w:tc>
        <w:tc>
          <w:tcPr>
            <w:gridSpan w:val="2"/>
            <w:tcW w:w="2422"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断口</w:t>
            </w:r>
            <w:r>
              <w:rPr>
                <w:rFonts w:hint="eastAsia" w:ascii="微软雅黑" w:hAnsi="微软雅黑" w:cs="微软雅黑"/>
                <w:color w:val="000000"/>
                <w:szCs w:val="21"/>
              </w:rPr>
            </w:r>
            <w:r/>
          </w:p>
        </w:tc>
        <w:tc>
          <w:tcPr>
            <w:tcW w:w="997"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48</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029"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422"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对地</w:t>
            </w:r>
            <w:r>
              <w:rPr>
                <w:rFonts w:hint="eastAsia" w:ascii="微软雅黑" w:hAnsi="微软雅黑" w:cs="微软雅黑"/>
                <w:color w:val="000000"/>
                <w:szCs w:val="21"/>
              </w:rPr>
            </w:r>
            <w:r/>
          </w:p>
        </w:tc>
        <w:tc>
          <w:tcPr>
            <w:tcW w:w="997"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42</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029"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额定雷电冲击耐受电压峰值（1.2/50s）</w:t>
            </w:r>
            <w:r>
              <w:rPr>
                <w:rFonts w:hint="eastAsia" w:ascii="微软雅黑" w:hAnsi="微软雅黑" w:cs="微软雅黑"/>
                <w:color w:val="000000"/>
                <w:szCs w:val="21"/>
              </w:rPr>
            </w:r>
            <w:r/>
          </w:p>
        </w:tc>
        <w:tc>
          <w:tcPr>
            <w:gridSpan w:val="2"/>
            <w:tcW w:w="2422"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断口</w:t>
            </w:r>
            <w:r>
              <w:rPr>
                <w:rFonts w:hint="eastAsia" w:ascii="微软雅黑" w:hAnsi="微软雅黑" w:cs="微软雅黑"/>
                <w:color w:val="000000"/>
                <w:szCs w:val="21"/>
              </w:rPr>
            </w:r>
            <w:r/>
          </w:p>
        </w:tc>
        <w:tc>
          <w:tcPr>
            <w:tcW w:w="997"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vMerge w:val="restart"/>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85</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029"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422"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对地</w:t>
            </w:r>
            <w:r>
              <w:rPr>
                <w:rFonts w:hint="eastAsia" w:ascii="微软雅黑" w:hAnsi="微软雅黑" w:cs="微软雅黑"/>
                <w:color w:val="000000"/>
                <w:szCs w:val="21"/>
              </w:rPr>
            </w:r>
            <w:r/>
          </w:p>
        </w:tc>
        <w:tc>
          <w:tcPr>
            <w:tcW w:w="997" w:type="dxa"/>
            <w:vAlign w:val="center"/>
            <w:vMerge w:val="continue"/>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额定短时耐受电流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20/4</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额定峰值耐受电流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机械稳定性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次</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≥5000（SF</w:t>
            </w:r>
            <w:r>
              <w:rPr>
                <w:rFonts w:hint="eastAsia" w:ascii="微软雅黑" w:hAnsi="微软雅黑" w:cs="微软雅黑"/>
                <w:color w:val="000000"/>
                <w:szCs w:val="21"/>
                <w:vertAlign w:val="subscript"/>
              </w:rPr>
              <w:t xml:space="preserve">6</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≥10000（真空）</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额定电缆充电开断电流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切空载变压器电流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额定有功负载开断电流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2" w:after="6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630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四</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负荷开关—熔断器组合电器参数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≤630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熔断器额定短路开断电流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31.5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转移电流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交接电流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五</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隔离开关参数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630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主回路电阻</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额定工频1min</w:t>
            </w:r>
            <w:r>
              <w:rPr>
                <w:rFonts w:hint="eastAsia" w:ascii="微软雅黑" w:hAnsi="微软雅黑" w:cs="微软雅黑"/>
                <w:color w:val="000000"/>
                <w:szCs w:val="21"/>
              </w:rPr>
            </w:r>
            <w:r/>
          </w:p>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耐受电压</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断口</w:t>
            </w:r>
            <w:r>
              <w:rPr>
                <w:rFonts w:hint="eastAsia" w:ascii="微软雅黑" w:hAnsi="微软雅黑" w:cs="微软雅黑"/>
                <w:color w:val="000000"/>
                <w:szCs w:val="21"/>
              </w:rPr>
            </w:r>
            <w:r/>
          </w:p>
        </w:tc>
        <w:tc>
          <w:tcPr>
            <w:tcW w:w="997"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48</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对地</w:t>
            </w:r>
            <w:r>
              <w:rPr>
                <w:rFonts w:hint="eastAsia" w:ascii="微软雅黑" w:hAnsi="微软雅黑" w:cs="微软雅黑"/>
                <w:color w:val="000000"/>
                <w:szCs w:val="21"/>
              </w:rPr>
            </w:r>
            <w:r/>
          </w:p>
        </w:tc>
        <w:tc>
          <w:tcPr>
            <w:tcW w:w="99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42</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额定雷电冲击耐受电压</w:t>
            </w:r>
            <w:r>
              <w:rPr>
                <w:rFonts w:hint="eastAsia" w:ascii="微软雅黑" w:hAnsi="微软雅黑" w:cs="微软雅黑"/>
                <w:color w:val="000000"/>
                <w:szCs w:val="21"/>
              </w:rPr>
            </w:r>
            <w:r/>
          </w:p>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峰值（1.2/50s）</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断口</w:t>
            </w:r>
            <w:r>
              <w:rPr>
                <w:rFonts w:hint="eastAsia" w:ascii="微软雅黑" w:hAnsi="微软雅黑" w:cs="微软雅黑"/>
                <w:color w:val="000000"/>
                <w:szCs w:val="21"/>
              </w:rPr>
            </w:r>
            <w:r/>
          </w:p>
        </w:tc>
        <w:tc>
          <w:tcPr>
            <w:tcW w:w="997"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vMerge w:val="restart"/>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85</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对地</w:t>
            </w:r>
            <w:r>
              <w:rPr>
                <w:rFonts w:hint="eastAsia" w:ascii="微软雅黑" w:hAnsi="微软雅黑" w:cs="微软雅黑"/>
                <w:color w:val="000000"/>
                <w:szCs w:val="21"/>
              </w:rPr>
            </w:r>
            <w:r/>
          </w:p>
        </w:tc>
        <w:tc>
          <w:tcPr>
            <w:tcW w:w="99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额定短时耐受电流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20/4</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额定峰值耐受电流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机械稳定性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次</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≥3000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六</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接地开关参数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额定短时耐受电流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20/2</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额定峰值耐受电流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额定短路关合电流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额定短路关合电流次数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次</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机械稳定性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次</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≥3000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七</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电流互感器参数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型式或型号</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干式电磁式</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绕组</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额定电流比</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7" w:after="57"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（详见附图）</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额定负荷</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准确级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0.5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八</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电压互感器及熔断器参数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型式或型号</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干式电磁式</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额定电压比</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10/0.1（户内环网柜）</w:t>
            </w:r>
            <w:r>
              <w:rPr>
                <w:rFonts w:hint="eastAsia" w:ascii="微软雅黑" w:hAnsi="微软雅黑" w:cs="微软雅黑"/>
                <w:color w:val="000000"/>
                <w:szCs w:val="21"/>
              </w:rPr>
            </w:r>
            <w:r/>
          </w:p>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10/0.1/0.22（户外环网柜）</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准确级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0.2/0.5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接线级别</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V/V </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额定容量</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50（户内</w:t>
            </w:r>
            <w:r>
              <w:rPr>
                <w:rFonts w:hint="eastAsia" w:ascii="微软雅黑" w:hAnsi="微软雅黑" w:cs="微软雅黑"/>
                <w:color w:val="000000"/>
                <w:szCs w:val="21"/>
              </w:rPr>
              <w:t xml:space="preserve">环网柜</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50/1000（户外</w:t>
            </w:r>
            <w:r>
              <w:rPr>
                <w:rFonts w:hint="eastAsia" w:ascii="微软雅黑" w:hAnsi="微软雅黑" w:cs="微软雅黑"/>
                <w:color w:val="000000"/>
                <w:szCs w:val="21"/>
              </w:rPr>
              <w:t xml:space="preserve">环网柜</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三相不平衡度</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低压绕组1min工频耐压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额定电压因数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1.2倍连续，1.9倍8h</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9</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熔断器型式</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熔断器的额定电流（与电压互感器配合使用）</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熔断器的额定短路开断电流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九</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避雷器参数</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型式</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复合绝缘金属氧化物避雷器</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持续运行电压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13.6</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标称放电电流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陡波冲击电流下残压峰值（5kA，1/3s）</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≤51.8</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雷电冲击电流下残压峰值（5kA，8/20s）</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操作冲击电流下残压峰值（250A，30/60s）</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≤38.3</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8</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直流1mA参考电压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≥24</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9</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75%直流1mA参考电压下的泄漏电流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工频参考电压（有效值）</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≥16</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工频参考电流（峰值）</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mA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r>
      <w:tr>
        <w:trPr/>
        <w:tc>
          <w:tcPr>
            <w:tcW w:w="907"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12</w:t>
            </w:r>
            <w:r>
              <w:rPr>
                <w:rFonts w:hint="eastAsia" w:ascii="微软雅黑" w:hAnsi="微软雅黑" w:cs="微软雅黑"/>
                <w:color w:val="000000"/>
                <w:szCs w:val="21"/>
              </w:rPr>
            </w:r>
            <w:r/>
          </w:p>
        </w:tc>
        <w:tc>
          <w:tcPr>
            <w:gridSpan w:val="2"/>
            <w:tcW w:w="2056" w:type="dxa"/>
            <w:vAlign w:val="center"/>
            <w:vMerge w:val="restart"/>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持续电流</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全电流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mA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vMerge w:val="continue"/>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阻性电流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长持续时间冲击耐受电流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400（峰值）</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4/10s大冲击耐受电流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65（峰值）</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动作负载</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16</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工频电压耐受时间特性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千伏额定电压吸收能力</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kJ/kV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（投标人提供）</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18</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压力释放能力</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60" w:after="60"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25/0.2</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十</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母线参数</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材质</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铜</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630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额定短时耐受电流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kA/s</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20/4</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额定峰值耐受电流</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kA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导体截面</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mm</w:t>
            </w:r>
            <w:r>
              <w:rPr>
                <w:rFonts w:hint="eastAsia" w:ascii="微软雅黑" w:hAnsi="微软雅黑" w:cs="微软雅黑"/>
                <w:color w:val="000000"/>
                <w:szCs w:val="21"/>
                <w:vertAlign w:val="superscript"/>
              </w:rPr>
              <w:t xml:space="preserve">2</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与环网柜产品的</w:t>
            </w:r>
            <w:r>
              <w:rPr>
                <w:rFonts w:hint="eastAsia" w:ascii="微软雅黑" w:hAnsi="微软雅黑" w:cs="微软雅黑"/>
                <w:color w:val="000000"/>
                <w:szCs w:val="21"/>
              </w:rPr>
            </w:r>
            <w:r/>
          </w:p>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导体截面、材质一致</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十一</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直流电源系统（户外环网柜）</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输入电压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AC220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输出电压</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V</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DC48V</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直流输出回路</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10A，12回</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蓄电池容量</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Ah</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20</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充电模块</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A</w:t>
            </w: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2×5</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十二</w:t>
            </w:r>
            <w:r>
              <w:rPr>
                <w:rFonts w:hint="eastAsia" w:ascii="微软雅黑" w:hAnsi="微软雅黑" w:cs="微软雅黑"/>
                <w:color w:val="000000"/>
                <w:szCs w:val="21"/>
              </w:rPr>
            </w:r>
            <w:r/>
          </w:p>
        </w:tc>
        <w:tc>
          <w:tcPr>
            <w:gridSpan w:val="5"/>
            <w:tcW w:w="8504"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箱体要求（户外环网柜）</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gridSpan w:val="2"/>
            <w:tcW w:w="2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箱体</w:t>
            </w: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外壳材质</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304不锈钢，厚度不小于2mm，（以图纸为准，建议喷国网绿）</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gridSpan w:val="2"/>
            <w:tcW w:w="2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2395"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防护等级</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IP43</w:t>
            </w:r>
            <w:r>
              <w:rPr>
                <w:rFonts w:hint="eastAsia" w:ascii="微软雅黑" w:hAnsi="微软雅黑" w:cs="微软雅黑"/>
                <w:color w:val="000000"/>
                <w:szCs w:val="21"/>
              </w:rPr>
            </w:r>
            <w:r/>
          </w:p>
        </w:tc>
      </w:tr>
      <w:tr>
        <w:trPr/>
        <w:tc>
          <w:tcPr>
            <w:tcW w:w="90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gridSpan w:val="3"/>
            <w:tcW w:w="4451"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外形尺寸</w:t>
            </w:r>
            <w:r>
              <w:rPr>
                <w:rFonts w:hint="eastAsia" w:ascii="微软雅黑" w:hAnsi="微软雅黑" w:cs="微软雅黑"/>
                <w:color w:val="000000"/>
                <w:szCs w:val="21"/>
              </w:rPr>
            </w:r>
            <w:r/>
          </w:p>
        </w:tc>
        <w:tc>
          <w:tcPr>
            <w:tcW w:w="997"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056" w:type="dxa"/>
            <w:vAlign w:val="center"/>
            <w:textDirection w:val="lrTb"/>
            <w:noWrap w:val="false"/>
          </w:tcPr>
          <w:p>
            <w:pPr>
              <w:pStyle w:val="1044"/>
              <w:jc w:val="center"/>
              <w:spacing w:before="52" w:after="52"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（详见附图）</w:t>
            </w:r>
            <w:r>
              <w:rPr>
                <w:rFonts w:hint="eastAsia" w:ascii="微软雅黑" w:hAnsi="微软雅黑" w:cs="微软雅黑"/>
                <w:color w:val="000000"/>
                <w:szCs w:val="21"/>
              </w:rPr>
            </w:r>
            <w:r/>
          </w:p>
        </w:tc>
      </w:tr>
    </w:tbl>
    <w:p>
      <w:pPr>
        <w:pStyle w:val="1044"/>
        <w:spacing w:line="44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044"/>
        <w:numPr>
          <w:ilvl w:val="0"/>
          <w:numId w:val="11"/>
        </w:numPr>
        <w:keepLines/>
        <w:keepNext/>
        <w:spacing w:line="440" w:lineRule="exact"/>
        <w:rPr>
          <w:rFonts w:hint="eastAsia" w:ascii="微软雅黑" w:hAnsi="微软雅黑" w:cs="微软雅黑"/>
          <w:b/>
          <w:color w:val="000000"/>
          <w:szCs w:val="21"/>
        </w:rPr>
        <w:outlineLvl w:val="0"/>
      </w:pPr>
      <w:r/>
      <w:bookmarkStart w:id="175" w:name="_Toc179977345"/>
      <w:r>
        <w:rPr>
          <w:rFonts w:hint="eastAsia" w:ascii="微软雅黑" w:hAnsi="微软雅黑" w:cs="微软雅黑"/>
          <w:b/>
          <w:color w:val="000000"/>
          <w:szCs w:val="21"/>
        </w:rPr>
        <w:t xml:space="preserve">试验要求</w:t>
      </w:r>
      <w:bookmarkEnd w:id="175"/>
      <w:r>
        <w:rPr>
          <w:rFonts w:hint="eastAsia" w:ascii="微软雅黑" w:hAnsi="微软雅黑" w:cs="微软雅黑"/>
          <w:b/>
          <w:color w:val="000000"/>
          <w:szCs w:val="21"/>
        </w:rPr>
      </w:r>
      <w:r/>
    </w:p>
    <w:p>
      <w:pPr>
        <w:pStyle w:val="1044"/>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5.1 环网柜试验包括型式试验、出厂试验、抽检试验和现场交接试验项目。</w:t>
      </w:r>
      <w:r>
        <w:rPr>
          <w:rFonts w:hint="eastAsia" w:ascii="微软雅黑" w:hAnsi="微软雅黑" w:cs="微软雅黑"/>
          <w:color w:val="000000"/>
          <w:szCs w:val="21"/>
        </w:rPr>
      </w:r>
      <w:r/>
    </w:p>
    <w:p>
      <w:pPr>
        <w:pStyle w:val="1044"/>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5.2 型式试验</w:t>
      </w:r>
      <w:r>
        <w:rPr>
          <w:rFonts w:hint="eastAsia" w:ascii="微软雅黑" w:hAnsi="微软雅黑" w:cs="微软雅黑"/>
          <w:color w:val="000000"/>
          <w:szCs w:val="21"/>
        </w:rPr>
      </w:r>
      <w:r/>
    </w:p>
    <w:p>
      <w:pPr>
        <w:pStyle w:val="1044"/>
        <w:jc w:val="left"/>
        <w:spacing w:line="440" w:lineRule="exact"/>
        <w:widowControl/>
        <w:rPr>
          <w:rFonts w:hint="eastAsia" w:ascii="微软雅黑" w:hAnsi="微软雅黑" w:cs="微软雅黑"/>
          <w:color w:val="000000"/>
          <w:szCs w:val="21"/>
        </w:rPr>
        <w:outlineLvl w:val="3"/>
      </w:pPr>
      <w:r>
        <w:rPr>
          <w:rFonts w:hint="eastAsia" w:ascii="微软雅黑" w:hAnsi="微软雅黑" w:cs="微软雅黑"/>
          <w:color w:val="000000"/>
          <w:szCs w:val="21"/>
        </w:rPr>
        <w:t xml:space="preserve">5.2.1 </w:t>
      </w:r>
      <w:r>
        <w:rPr>
          <w:rFonts w:hint="eastAsia" w:ascii="微软雅黑" w:hAnsi="微软雅黑" w:cs="微软雅黑"/>
          <w:color w:val="000000"/>
          <w:szCs w:val="21"/>
        </w:rPr>
        <w:t xml:space="preserve">环网柜应进行第三方型式试验，型式试验的目在于验证环网单元、控制回路、控制设备及辅助设备的各种性能是否符合标准的要求。试验应在典型的同一环网单元上完成，应由具备国家认可资质的第三方检测机构执行。</w:t>
      </w:r>
      <w:r>
        <w:rPr>
          <w:rFonts w:hint="eastAsia" w:ascii="微软雅黑" w:hAnsi="微软雅黑" w:cs="微软雅黑"/>
          <w:color w:val="000000"/>
          <w:szCs w:val="21"/>
        </w:rPr>
      </w:r>
      <w:r/>
    </w:p>
    <w:p>
      <w:pPr>
        <w:pStyle w:val="1044"/>
        <w:jc w:val="left"/>
        <w:spacing w:line="440" w:lineRule="exact"/>
        <w:widowControl/>
        <w:rPr>
          <w:rFonts w:hint="eastAsia" w:ascii="微软雅黑" w:hAnsi="微软雅黑" w:cs="微软雅黑"/>
          <w:color w:val="000000"/>
          <w:szCs w:val="21"/>
        </w:rPr>
        <w:outlineLvl w:val="3"/>
      </w:pPr>
      <w:r>
        <w:rPr>
          <w:rFonts w:hint="eastAsia" w:ascii="微软雅黑" w:hAnsi="微软雅黑" w:cs="微软雅黑"/>
          <w:color w:val="000000"/>
          <w:szCs w:val="21"/>
        </w:rPr>
        <w:t xml:space="preserve">5.2.2 </w:t>
      </w:r>
      <w:r>
        <w:rPr>
          <w:rFonts w:hint="eastAsia" w:ascii="微软雅黑" w:hAnsi="微软雅黑" w:cs="微软雅黑"/>
          <w:color w:val="000000"/>
          <w:szCs w:val="21"/>
        </w:rPr>
        <w:t xml:space="preserve">型式试验项目及要求，按GB 3906、DL/T 404及DL/T 593及的规定执行。</w:t>
      </w:r>
      <w:r>
        <w:rPr>
          <w:rFonts w:hint="eastAsia" w:ascii="微软雅黑" w:hAnsi="微软雅黑" w:cs="微软雅黑"/>
          <w:color w:val="000000"/>
          <w:szCs w:val="21"/>
        </w:rPr>
      </w:r>
      <w:r/>
    </w:p>
    <w:p>
      <w:pPr>
        <w:pStyle w:val="1044"/>
        <w:jc w:val="left"/>
        <w:spacing w:line="440" w:lineRule="exact"/>
        <w:widowControl/>
        <w:rPr>
          <w:rFonts w:hint="eastAsia" w:ascii="微软雅黑" w:hAnsi="微软雅黑" w:cs="微软雅黑"/>
          <w:color w:val="000000"/>
          <w:szCs w:val="21"/>
        </w:rPr>
        <w:outlineLvl w:val="3"/>
      </w:pPr>
      <w:r>
        <w:rPr>
          <w:rFonts w:hint="eastAsia" w:ascii="微软雅黑" w:hAnsi="微软雅黑" w:cs="微软雅黑"/>
          <w:color w:val="000000"/>
          <w:szCs w:val="21"/>
        </w:rPr>
        <w:t xml:space="preserve">5.2.3 </w:t>
      </w:r>
      <w:r>
        <w:rPr>
          <w:rFonts w:hint="eastAsia" w:ascii="微软雅黑" w:hAnsi="微软雅黑" w:cs="微软雅黑"/>
          <w:color w:val="000000"/>
          <w:szCs w:val="21"/>
        </w:rPr>
        <w:t xml:space="preserve">在进行型式试验前，环网单元中的断路器应按GB 1984和DL/T 402、负荷开关应按GB 3804、组合电器应按GB 16926、隔离开关和接地开关应按GB 1985中规定的项目通过型式试验，组合电器中的熔断器应按GB/T 15166.2中的规定通过型式试验。</w:t>
      </w:r>
      <w:r>
        <w:rPr>
          <w:rFonts w:hint="eastAsia" w:ascii="微软雅黑" w:hAnsi="微软雅黑" w:cs="微软雅黑"/>
          <w:color w:val="000000"/>
          <w:szCs w:val="21"/>
        </w:rPr>
      </w:r>
      <w:r/>
    </w:p>
    <w:p>
      <w:pPr>
        <w:pStyle w:val="1044"/>
        <w:jc w:val="left"/>
        <w:spacing w:line="440" w:lineRule="exact"/>
        <w:widowControl/>
        <w:tabs>
          <w:tab w:val="center" w:pos="4201" w:leader="none"/>
          <w:tab w:val="right" w:pos="9298" w:leader="dot"/>
        </w:tabs>
        <w:rPr>
          <w:rFonts w:hint="eastAsia" w:ascii="微软雅黑" w:hAnsi="微软雅黑" w:cs="微软雅黑"/>
          <w:color w:val="000000"/>
          <w:szCs w:val="21"/>
        </w:rPr>
        <w:outlineLvl w:val="3"/>
      </w:pPr>
      <w:r>
        <w:rPr>
          <w:rFonts w:hint="eastAsia" w:ascii="微软雅黑" w:hAnsi="微软雅黑" w:cs="微软雅黑"/>
          <w:color w:val="000000"/>
          <w:szCs w:val="21"/>
        </w:rPr>
        <w:t xml:space="preserve">5.2.4 </w:t>
      </w:r>
      <w:r>
        <w:rPr>
          <w:rFonts w:hint="eastAsia" w:ascii="微软雅黑" w:hAnsi="微软雅黑" w:cs="微软雅黑"/>
          <w:color w:val="000000"/>
          <w:szCs w:val="21"/>
        </w:rPr>
        <w:t xml:space="preserve">出现以下任何一种情况时，应进行型式试验：</w:t>
      </w:r>
      <w:r>
        <w:rPr>
          <w:rFonts w:hint="eastAsia" w:ascii="微软雅黑" w:hAnsi="微软雅黑" w:cs="微软雅黑"/>
          <w:color w:val="000000"/>
          <w:szCs w:val="21"/>
        </w:rPr>
      </w:r>
      <w:r/>
    </w:p>
    <w:p>
      <w:pPr>
        <w:pStyle w:val="1044"/>
        <w:ind w:firstLine="16"/>
        <w:jc w:val="left"/>
        <w:spacing w:line="440" w:lineRule="exact"/>
        <w:widowControl/>
        <w:rPr>
          <w:rFonts w:hint="eastAsia" w:ascii="微软雅黑" w:hAnsi="微软雅黑" w:cs="微软雅黑"/>
          <w:color w:val="000000"/>
          <w:szCs w:val="21"/>
        </w:rPr>
        <w:outlineLvl w:val="4"/>
      </w:pPr>
      <w:r>
        <w:rPr>
          <w:rFonts w:hint="eastAsia" w:ascii="微软雅黑" w:hAnsi="微软雅黑" w:cs="微软雅黑"/>
          <w:color w:val="000000"/>
          <w:szCs w:val="21"/>
        </w:rPr>
        <w:t xml:space="preserve">a) 新试制的产品应进行完整的型式试验；</w:t>
      </w:r>
      <w:r>
        <w:rPr>
          <w:rFonts w:hint="eastAsia" w:ascii="微软雅黑" w:hAnsi="微软雅黑" w:cs="微软雅黑"/>
          <w:color w:val="000000"/>
          <w:szCs w:val="21"/>
        </w:rPr>
      </w:r>
      <w:r/>
    </w:p>
    <w:p>
      <w:pPr>
        <w:pStyle w:val="1044"/>
        <w:ind w:firstLine="16"/>
        <w:jc w:val="left"/>
        <w:spacing w:line="440" w:lineRule="exact"/>
        <w:widowControl/>
        <w:rPr>
          <w:rFonts w:hint="eastAsia" w:ascii="微软雅黑" w:hAnsi="微软雅黑" w:cs="微软雅黑"/>
          <w:color w:val="000000"/>
          <w:szCs w:val="21"/>
        </w:rPr>
        <w:outlineLvl w:val="4"/>
      </w:pPr>
      <w:r>
        <w:rPr>
          <w:rFonts w:hint="eastAsia" w:ascii="微软雅黑" w:hAnsi="微软雅黑" w:cs="微软雅黑"/>
          <w:color w:val="000000"/>
          <w:szCs w:val="21"/>
        </w:rPr>
        <w:t xml:space="preserve">b) 转厂试制的产品应进行完整的型式试验；</w:t>
      </w:r>
      <w:r>
        <w:rPr>
          <w:rFonts w:hint="eastAsia" w:ascii="微软雅黑" w:hAnsi="微软雅黑" w:cs="微软雅黑"/>
          <w:color w:val="000000"/>
          <w:szCs w:val="21"/>
        </w:rPr>
      </w:r>
      <w:r/>
    </w:p>
    <w:p>
      <w:pPr>
        <w:pStyle w:val="1044"/>
        <w:ind w:firstLine="16"/>
        <w:jc w:val="left"/>
        <w:spacing w:line="440" w:lineRule="exact"/>
        <w:widowControl/>
        <w:rPr>
          <w:rFonts w:hint="eastAsia" w:ascii="微软雅黑" w:hAnsi="微软雅黑" w:cs="微软雅黑"/>
          <w:color w:val="000000"/>
          <w:szCs w:val="21"/>
        </w:rPr>
        <w:outlineLvl w:val="4"/>
      </w:pPr>
      <w:r>
        <w:rPr>
          <w:rFonts w:hint="eastAsia" w:ascii="微软雅黑" w:hAnsi="微软雅黑" w:cs="微软雅黑"/>
          <w:color w:val="000000"/>
          <w:szCs w:val="21"/>
        </w:rPr>
        <w:t xml:space="preserve">c) 当环网单元中的断路器、负荷开关及组合电器中配用的负荷开关、熔断器、操动机构或辅助设备的型号或规格变更时，应进行相应项目的型式试验；</w:t>
      </w:r>
      <w:r>
        <w:rPr>
          <w:rFonts w:hint="eastAsia" w:ascii="微软雅黑" w:hAnsi="微软雅黑" w:cs="微软雅黑"/>
          <w:color w:val="000000"/>
          <w:szCs w:val="21"/>
        </w:rPr>
      </w:r>
      <w:r/>
    </w:p>
    <w:p>
      <w:pPr>
        <w:pStyle w:val="1044"/>
        <w:ind w:firstLine="16"/>
        <w:jc w:val="left"/>
        <w:spacing w:line="440" w:lineRule="exact"/>
        <w:widowControl/>
        <w:rPr>
          <w:rFonts w:hint="eastAsia" w:ascii="微软雅黑" w:hAnsi="微软雅黑" w:cs="微软雅黑"/>
          <w:color w:val="000000"/>
          <w:szCs w:val="21"/>
        </w:rPr>
        <w:outlineLvl w:val="4"/>
      </w:pPr>
      <w:r>
        <w:rPr>
          <w:rFonts w:hint="eastAsia" w:ascii="微软雅黑" w:hAnsi="微软雅黑" w:cs="微软雅黑"/>
          <w:color w:val="000000"/>
          <w:szCs w:val="21"/>
        </w:rPr>
        <w:t xml:space="preserve">d) 当产品在设计、工艺或使用的材料等做重大改变时，应进行相应项目的型式试验；</w:t>
      </w:r>
      <w:r>
        <w:rPr>
          <w:rFonts w:hint="eastAsia" w:ascii="微软雅黑" w:hAnsi="微软雅黑" w:cs="微软雅黑"/>
          <w:color w:val="000000"/>
          <w:szCs w:val="21"/>
        </w:rPr>
      </w:r>
      <w:r/>
    </w:p>
    <w:p>
      <w:pPr>
        <w:pStyle w:val="1044"/>
        <w:ind w:firstLine="16"/>
        <w:jc w:val="left"/>
        <w:spacing w:line="440" w:lineRule="exact"/>
        <w:widowControl/>
        <w:rPr>
          <w:rFonts w:hint="eastAsia" w:ascii="微软雅黑" w:hAnsi="微软雅黑" w:cs="微软雅黑"/>
          <w:color w:val="000000"/>
          <w:szCs w:val="21"/>
        </w:rPr>
        <w:outlineLvl w:val="4"/>
      </w:pPr>
      <w:r>
        <w:rPr>
          <w:rFonts w:hint="eastAsia" w:ascii="微软雅黑" w:hAnsi="微软雅黑" w:cs="微软雅黑"/>
          <w:color w:val="000000"/>
          <w:szCs w:val="21"/>
        </w:rPr>
        <w:t xml:space="preserve">e) 批量生产的产品每隔8年或不经常生产的产品（指停止生产间隔1年及以上者）再次生产时，应进行全部项目的型式试验；</w:t>
      </w:r>
      <w:r>
        <w:rPr>
          <w:rFonts w:hint="eastAsia" w:ascii="微软雅黑" w:hAnsi="微软雅黑" w:cs="微软雅黑"/>
          <w:color w:val="000000"/>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5.2.5 </w:t>
      </w:r>
      <w:r>
        <w:rPr>
          <w:rFonts w:hint="eastAsia" w:ascii="微软雅黑" w:hAnsi="微软雅黑" w:cs="微软雅黑"/>
          <w:szCs w:val="21"/>
        </w:rPr>
        <w:t xml:space="preserve">型式试验项目见表3</w:t>
      </w:r>
      <w:r>
        <w:rPr>
          <w:rFonts w:hint="eastAsia" w:ascii="微软雅黑" w:hAnsi="微软雅黑" w:cs="微软雅黑"/>
          <w:szCs w:val="21"/>
        </w:rPr>
      </w:r>
      <w:r/>
    </w:p>
    <w:p>
      <w:pPr>
        <w:pStyle w:val="1044"/>
        <w:jc w:val="center"/>
        <w:spacing w:before="159" w:after="159" w:line="440" w:lineRule="exact"/>
        <w:tabs>
          <w:tab w:val="left" w:pos="360" w:leader="none"/>
          <w:tab w:val="left" w:pos="420" w:leader="none"/>
        </w:tabs>
        <w:rPr>
          <w:rFonts w:hint="eastAsia" w:ascii="微软雅黑" w:hAnsi="微软雅黑" w:cs="微软雅黑"/>
          <w:szCs w:val="21"/>
        </w:rPr>
      </w:pPr>
      <w:r>
        <w:rPr>
          <w:rFonts w:hint="eastAsia" w:ascii="微软雅黑" w:hAnsi="微软雅黑" w:cs="微软雅黑"/>
          <w:szCs w:val="21"/>
        </w:rPr>
        <w:t xml:space="preserve">表3型式试验项目</w:t>
      </w:r>
      <w:r>
        <w:rPr>
          <w:rFonts w:hint="eastAsia" w:ascii="微软雅黑" w:hAnsi="微软雅黑" w:cs="微软雅黑"/>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215"/>
        <w:gridCol w:w="2589"/>
        <w:gridCol w:w="1080"/>
        <w:gridCol w:w="1540"/>
        <w:gridCol w:w="1507"/>
      </w:tblGrid>
      <w:tr>
        <w:trPr>
          <w:cantSplit/>
          <w:trHeight w:val="400"/>
          <w:tblHeader/>
        </w:trPr>
        <w:tc>
          <w:tcPr>
            <w:tcW w:w="619"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gridSpan w:val="2"/>
            <w:tcW w:w="3804"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型式试验项目</w:t>
            </w:r>
            <w:r>
              <w:rPr>
                <w:rFonts w:hint="eastAsia" w:ascii="微软雅黑" w:hAnsi="微软雅黑" w:cs="微软雅黑"/>
                <w:szCs w:val="21"/>
              </w:rPr>
            </w:r>
            <w:r/>
          </w:p>
        </w:tc>
        <w:tc>
          <w:tcPr>
            <w:gridSpan w:val="3"/>
            <w:tcW w:w="412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功能单元的类别</w:t>
            </w:r>
            <w:r>
              <w:rPr>
                <w:rFonts w:hint="eastAsia" w:ascii="微软雅黑" w:hAnsi="微软雅黑" w:cs="微软雅黑"/>
                <w:szCs w:val="21"/>
              </w:rPr>
            </w:r>
            <w:r/>
          </w:p>
        </w:tc>
      </w:tr>
      <w:tr>
        <w:trPr>
          <w:cantSplit/>
          <w:trHeight w:val="90"/>
          <w:tblHeader/>
        </w:trPr>
        <w:tc>
          <w:tcPr>
            <w:tcW w:w="619" w:type="dxa"/>
            <w:vAlign w:val="center"/>
            <w:vMerge w:val="continue"/>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gridSpan w:val="2"/>
            <w:tcW w:w="3804"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断路器用</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负荷开关用</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组合电器用</w:t>
            </w: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绝缘试验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3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温升试验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主回路电阻测量</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额定峰值耐受电流和短时耐受电流试验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4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额定短路关合能力试验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84"/>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额定短路开断能力试验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防护等级试验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88"/>
        </w:trPr>
        <w:tc>
          <w:tcPr>
            <w:tcW w:w="619" w:type="dxa"/>
            <w:vAlign w:val="center"/>
            <w:textDirection w:val="lrTb"/>
            <w:noWrap w:val="false"/>
          </w:tcPr>
          <w:p>
            <w:pPr>
              <w:pStyle w:val="1044"/>
              <w:jc w:val="center"/>
              <w:spacing w:line="440" w:lineRule="exact"/>
              <w:tabs>
                <w:tab w:val="left" w:pos="0" w:leader="none"/>
              </w:tabs>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tabs>
                <w:tab w:val="center" w:pos="1794" w:leader="none"/>
              </w:tabs>
              <w:rPr>
                <w:rFonts w:hint="eastAsia" w:ascii="微软雅黑" w:hAnsi="微软雅黑" w:cs="微软雅黑"/>
                <w:szCs w:val="21"/>
              </w:rPr>
            </w:pPr>
            <w:r>
              <w:rPr>
                <w:rFonts w:hint="eastAsia" w:ascii="微软雅黑" w:hAnsi="微软雅黑" w:cs="微软雅黑"/>
                <w:szCs w:val="21"/>
              </w:rPr>
              <w:t xml:space="preserve">内部燃弧试验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5"/>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机械特性试验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5"/>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机械强度试验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24"/>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异相接地故障试验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cantSplit/>
          <w:trHeight w:val="312"/>
        </w:trPr>
        <w:tc>
          <w:tcPr>
            <w:tcW w:w="619" w:type="dxa"/>
            <w:vAlign w:val="center"/>
            <w:vMerge w:val="restart"/>
            <w:textDirection w:val="lrTb"/>
            <w:noWrap w:val="false"/>
          </w:tcPr>
          <w:p>
            <w:pPr>
              <w:pStyle w:val="1044"/>
              <w:jc w:val="center"/>
              <w:spacing w:line="440" w:lineRule="exact"/>
              <w:tabs>
                <w:tab w:val="left" w:pos="0" w:leader="none"/>
              </w:tabs>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215" w:type="dxa"/>
            <w:vAlign w:val="center"/>
            <w:vMerge w:val="restart"/>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额定容性电流开合试验</w:t>
            </w:r>
            <w:r>
              <w:rPr>
                <w:rFonts w:hint="eastAsia" w:ascii="微软雅黑" w:hAnsi="微软雅黑" w:cs="微软雅黑"/>
                <w:szCs w:val="21"/>
              </w:rPr>
            </w:r>
            <w:r/>
          </w:p>
        </w:tc>
        <w:tc>
          <w:tcPr>
            <w:tcW w:w="2589"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电缆充电电流</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cantSplit/>
          <w:trHeight w:val="311"/>
        </w:trPr>
        <w:tc>
          <w:tcPr>
            <w:tcW w:w="619" w:type="dxa"/>
            <w:vAlign w:val="center"/>
            <w:vMerge w:val="continue"/>
            <w:textDirection w:val="lrTb"/>
            <w:noWrap w:val="false"/>
          </w:tcPr>
          <w:p>
            <w:pPr>
              <w:pStyle w:val="1044"/>
              <w:numPr>
                <w:ilvl w:val="0"/>
                <w:numId w:val="12"/>
              </w:numPr>
              <w:ind w:left="0" w:firstLine="0"/>
              <w:jc w:val="center"/>
              <w:spacing w:line="440" w:lineRule="exact"/>
              <w:tabs>
                <w:tab w:val="left" w:pos="-71" w:leader="none"/>
              </w:tabs>
              <w:rPr>
                <w:rFonts w:hint="eastAsia" w:ascii="微软雅黑" w:hAnsi="微软雅黑" w:cs="微软雅黑"/>
                <w:szCs w:val="21"/>
              </w:rPr>
            </w:pPr>
            <w:r>
              <w:rPr>
                <w:rFonts w:hint="eastAsia" w:ascii="微软雅黑" w:hAnsi="微软雅黑" w:cs="微软雅黑"/>
                <w:szCs w:val="21"/>
              </w:rPr>
            </w:r>
            <w:r/>
          </w:p>
        </w:tc>
        <w:tc>
          <w:tcPr>
            <w:tcW w:w="1215" w:type="dxa"/>
            <w:vAlign w:val="center"/>
            <w:vMerge w:val="continue"/>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r>
            <w:r/>
          </w:p>
        </w:tc>
        <w:tc>
          <w:tcPr>
            <w:tcW w:w="2589"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架空线路充电电流</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额定有功负载电流开合试验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trHeight w:val="22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转移电流开断试验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交接电流开断试验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接地短路关合试验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trHeight w:val="33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闭环电流开合试验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r>
        <w:trPr>
          <w:trHeight w:val="366"/>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18</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电寿命试验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19</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环境试验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20</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凝露试验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电磁兼容试验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rPr>
                <w:rFonts w:hint="eastAsia" w:ascii="微软雅黑" w:hAnsi="微软雅黑" w:cs="微软雅黑"/>
                <w:szCs w:val="21"/>
              </w:rPr>
            </w:r>
            <w:r/>
          </w:p>
        </w:tc>
        <w:tc>
          <w:tcPr>
            <w:gridSpan w:val="2"/>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严酷气候条件下的试验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7"/>
        </w:trPr>
        <w:tc>
          <w:tcPr>
            <w:gridSpan w:val="6"/>
            <w:tcW w:w="8550" w:type="dxa"/>
            <w:vAlign w:val="top"/>
            <w:textDirection w:val="lrTb"/>
            <w:noWrap w:val="false"/>
          </w:tcPr>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注：1、“△”为必试项目；“*”为需要时进行的试验项目</w:t>
            </w:r>
            <w:r>
              <w:rPr>
                <w:rFonts w:hint="eastAsia" w:ascii="微软雅黑" w:hAnsi="微软雅黑" w:cs="微软雅黑"/>
                <w:szCs w:val="21"/>
              </w:rPr>
            </w:r>
            <w:r/>
          </w:p>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    2、环网柜中电流互感器、电压互感器、变压器及避雷器等元件按应相关标准进行型式试验</w:t>
            </w:r>
            <w:r>
              <w:rPr>
                <w:rFonts w:hint="eastAsia" w:ascii="微软雅黑" w:hAnsi="微软雅黑" w:cs="微软雅黑"/>
                <w:szCs w:val="21"/>
              </w:rPr>
            </w:r>
            <w:r/>
          </w:p>
        </w:tc>
      </w:tr>
    </w:tbl>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r>
      <w:r/>
    </w:p>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5.3 出厂试验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5.3.1 </w:t>
      </w:r>
      <w:r>
        <w:rPr>
          <w:rFonts w:hint="eastAsia" w:ascii="微软雅黑" w:hAnsi="微软雅黑" w:cs="微软雅黑"/>
          <w:szCs w:val="21"/>
        </w:rPr>
        <w:t xml:space="preserve">一般要求</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出厂试验不应给产品的性能和可靠性带来损害；</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每台产品必须经出厂试验，合格后方能出厂；</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出厂产品均应附有产品合格证等相应的技术文件。如有协议要求，任一项出厂试验项目可作为对产品的验收内容；</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 出厂试验应符合GB 3906、DL/T 404及DL/T 593中的规定．还应符合相应产品标准及本标准的规定。</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5.3.2 </w:t>
      </w:r>
      <w:r>
        <w:rPr>
          <w:rFonts w:hint="eastAsia" w:ascii="微软雅黑" w:hAnsi="微软雅黑" w:cs="微软雅黑"/>
          <w:szCs w:val="21"/>
        </w:rPr>
        <w:t xml:space="preserve">出厂试验项目见表4</w:t>
      </w:r>
      <w:r>
        <w:rPr>
          <w:rFonts w:hint="eastAsia" w:ascii="微软雅黑" w:hAnsi="微软雅黑" w:cs="微软雅黑"/>
          <w:szCs w:val="21"/>
        </w:rPr>
      </w:r>
      <w:r/>
    </w:p>
    <w:p>
      <w:pPr>
        <w:pStyle w:val="1044"/>
        <w:jc w:val="center"/>
        <w:spacing w:before="159" w:after="159" w:line="440" w:lineRule="exact"/>
        <w:tabs>
          <w:tab w:val="left" w:pos="360" w:leader="none"/>
          <w:tab w:val="left" w:pos="420" w:leader="none"/>
        </w:tabs>
        <w:rPr>
          <w:rFonts w:hint="eastAsia" w:ascii="微软雅黑" w:hAnsi="微软雅黑" w:cs="微软雅黑"/>
          <w:szCs w:val="21"/>
        </w:rPr>
      </w:pPr>
      <w:r>
        <w:rPr>
          <w:rFonts w:hint="eastAsia" w:ascii="微软雅黑" w:hAnsi="微软雅黑" w:cs="微软雅黑"/>
          <w:szCs w:val="21"/>
        </w:rPr>
        <w:t xml:space="preserve">表4出厂试验项目</w:t>
      </w:r>
      <w:r>
        <w:rPr>
          <w:rFonts w:hint="eastAsia" w:ascii="微软雅黑" w:hAnsi="微软雅黑" w:cs="微软雅黑"/>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blHeader/>
        </w:trPr>
        <w:tc>
          <w:tcPr>
            <w:tcW w:w="619"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3804"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出厂试验项目</w:t>
            </w:r>
            <w:r>
              <w:rPr>
                <w:rFonts w:hint="eastAsia" w:ascii="微软雅黑" w:hAnsi="微软雅黑" w:cs="微软雅黑"/>
                <w:szCs w:val="21"/>
              </w:rPr>
            </w:r>
            <w:r/>
          </w:p>
        </w:tc>
        <w:tc>
          <w:tcPr>
            <w:gridSpan w:val="3"/>
            <w:tcW w:w="412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功能单元的类别</w:t>
            </w:r>
            <w:r>
              <w:rPr>
                <w:rFonts w:hint="eastAsia" w:ascii="微软雅黑" w:hAnsi="微软雅黑" w:cs="微软雅黑"/>
                <w:szCs w:val="21"/>
              </w:rPr>
            </w:r>
            <w:r/>
          </w:p>
        </w:tc>
      </w:tr>
      <w:tr>
        <w:trPr>
          <w:cantSplit/>
          <w:trHeight w:val="90"/>
          <w:tblHeader/>
        </w:trPr>
        <w:tc>
          <w:tcPr>
            <w:tcW w:w="619" w:type="dxa"/>
            <w:vAlign w:val="center"/>
            <w:vMerge w:val="continue"/>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3804"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断路器用</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负荷开关用</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组合电器用</w:t>
            </w: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绝缘试验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3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主回路1min工频耐压试验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辅助回路和控制回路绝缘试验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5"/>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机械特性试验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5"/>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机械强度试验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防误操作装置或电气、机械联锁装置功能的试验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局部放电测量</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功能检查试验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66"/>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X射线检查</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66"/>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气箱密封试验（仅限充气柜）</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7"/>
        </w:trPr>
        <w:tc>
          <w:tcPr>
            <w:gridSpan w:val="5"/>
            <w:tcW w:w="8550" w:type="dxa"/>
            <w:vAlign w:val="top"/>
            <w:textDirection w:val="lrTb"/>
            <w:noWrap w:val="false"/>
          </w:tcPr>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注：1、“△”为必试项目</w:t>
            </w:r>
            <w:r>
              <w:rPr>
                <w:rFonts w:hint="eastAsia" w:ascii="微软雅黑" w:hAnsi="微软雅黑" w:cs="微软雅黑"/>
                <w:szCs w:val="21"/>
              </w:rPr>
            </w:r>
            <w:r/>
          </w:p>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    2、环网柜中电流互感器、电压互感器、变压器及避雷器等元件按应相关标准进行的其它试验</w:t>
            </w:r>
            <w:r>
              <w:rPr>
                <w:rFonts w:hint="eastAsia" w:ascii="微软雅黑" w:hAnsi="微软雅黑" w:cs="微软雅黑"/>
                <w:szCs w:val="21"/>
              </w:rPr>
            </w:r>
            <w:r/>
          </w:p>
        </w:tc>
      </w:tr>
    </w:tbl>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5.4 抽检试验</w:t>
      </w:r>
      <w:r>
        <w:rPr>
          <w:rFonts w:hint="eastAsia" w:ascii="微软雅黑" w:hAnsi="微软雅黑" w:cs="微软雅黑"/>
          <w:szCs w:val="21"/>
        </w:rPr>
      </w:r>
      <w:r/>
    </w:p>
    <w:p>
      <w:pPr>
        <w:pStyle w:val="1044"/>
        <w:jc w:val="left"/>
        <w:spacing w:before="156" w:after="156"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5.4.1 </w:t>
      </w:r>
      <w:r>
        <w:rPr>
          <w:rFonts w:hint="eastAsia" w:ascii="微软雅黑" w:hAnsi="微软雅黑" w:cs="微软雅黑"/>
          <w:szCs w:val="21"/>
        </w:rPr>
        <w:t xml:space="preserve">12kV环网单元应按比例进行抽检试验。</w:t>
      </w:r>
      <w:r>
        <w:rPr>
          <w:rFonts w:hint="eastAsia" w:ascii="微软雅黑" w:hAnsi="微软雅黑" w:cs="微软雅黑"/>
          <w:szCs w:val="21"/>
        </w:rPr>
        <w:t xml:space="preserve">5.4.2</w:t>
      </w:r>
      <w:r>
        <w:rPr>
          <w:rFonts w:hint="eastAsia" w:ascii="微软雅黑" w:hAnsi="微软雅黑" w:cs="微软雅黑"/>
          <w:szCs w:val="21"/>
        </w:rPr>
        <w:t xml:space="preserve">如环网单元和配电自动化终端，应进行联调试验。</w:t>
      </w:r>
      <w:r>
        <w:rPr>
          <w:rFonts w:hint="eastAsia" w:ascii="微软雅黑" w:hAnsi="微软雅黑" w:cs="微软雅黑"/>
          <w:szCs w:val="21"/>
        </w:rPr>
      </w:r>
      <w:r/>
    </w:p>
    <w:p>
      <w:pPr>
        <w:pStyle w:val="1044"/>
        <w:jc w:val="left"/>
        <w:spacing w:before="156" w:after="156"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5.4.3 </w:t>
      </w:r>
      <w:r>
        <w:rPr>
          <w:rFonts w:hint="eastAsia" w:ascii="微软雅黑" w:hAnsi="微软雅黑" w:cs="微软雅黑"/>
          <w:szCs w:val="21"/>
        </w:rPr>
        <w:t xml:space="preserve">抽检试验应符合GB 3906、DL/T 404及DL/T 593中的规定．还应符合相应产品标准及本标准的规定。</w:t>
      </w:r>
      <w:r>
        <w:rPr>
          <w:rFonts w:hint="eastAsia" w:ascii="微软雅黑" w:hAnsi="微软雅黑" w:cs="微软雅黑"/>
          <w:szCs w:val="21"/>
        </w:rPr>
      </w:r>
      <w:r/>
    </w:p>
    <w:p>
      <w:pPr>
        <w:pStyle w:val="1044"/>
        <w:jc w:val="left"/>
        <w:spacing w:before="156" w:after="156"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5.4.4 </w:t>
      </w:r>
      <w:r>
        <w:rPr>
          <w:rFonts w:hint="eastAsia" w:ascii="微软雅黑" w:hAnsi="微软雅黑" w:cs="微软雅黑"/>
          <w:szCs w:val="21"/>
        </w:rPr>
        <w:t xml:space="preserve">抽检试验项目见表5</w:t>
      </w:r>
      <w:r>
        <w:rPr>
          <w:rFonts w:hint="eastAsia" w:ascii="微软雅黑" w:hAnsi="微软雅黑" w:cs="微软雅黑"/>
          <w:szCs w:val="21"/>
        </w:rPr>
      </w:r>
      <w:r/>
    </w:p>
    <w:p>
      <w:pPr>
        <w:pStyle w:val="1044"/>
        <w:jc w:val="center"/>
        <w:spacing w:before="159" w:after="159" w:line="440" w:lineRule="exact"/>
        <w:tabs>
          <w:tab w:val="left" w:pos="360" w:leader="none"/>
          <w:tab w:val="left" w:pos="420" w:leader="none"/>
        </w:tabs>
        <w:rPr>
          <w:rFonts w:hint="eastAsia" w:ascii="微软雅黑" w:hAnsi="微软雅黑" w:cs="微软雅黑"/>
          <w:szCs w:val="21"/>
        </w:rPr>
      </w:pPr>
      <w:r>
        <w:rPr>
          <w:rFonts w:hint="eastAsia" w:ascii="微软雅黑" w:hAnsi="微软雅黑" w:cs="微软雅黑"/>
          <w:szCs w:val="21"/>
        </w:rPr>
        <w:t xml:space="preserve">表5抽检试验项目</w:t>
      </w:r>
      <w:r>
        <w:rPr>
          <w:rFonts w:hint="eastAsia" w:ascii="微软雅黑" w:hAnsi="微软雅黑" w:cs="微软雅黑"/>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rPr>
        <w:tc>
          <w:tcPr>
            <w:tcW w:w="619"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3804"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型式试验项目</w:t>
            </w:r>
            <w:r>
              <w:rPr>
                <w:rFonts w:hint="eastAsia" w:ascii="微软雅黑" w:hAnsi="微软雅黑" w:cs="微软雅黑"/>
                <w:szCs w:val="21"/>
              </w:rPr>
            </w:r>
            <w:r/>
          </w:p>
        </w:tc>
        <w:tc>
          <w:tcPr>
            <w:gridSpan w:val="3"/>
            <w:tcW w:w="412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功能单元的类别</w:t>
            </w:r>
            <w:r>
              <w:rPr>
                <w:rFonts w:hint="eastAsia" w:ascii="微软雅黑" w:hAnsi="微软雅黑" w:cs="微软雅黑"/>
                <w:szCs w:val="21"/>
              </w:rPr>
            </w:r>
            <w:r/>
          </w:p>
        </w:tc>
      </w:tr>
      <w:tr>
        <w:trPr>
          <w:cantSplit/>
          <w:trHeight w:val="90"/>
        </w:trPr>
        <w:tc>
          <w:tcPr>
            <w:tcW w:w="619" w:type="dxa"/>
            <w:vAlign w:val="center"/>
            <w:vMerge w:val="continue"/>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3804"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断路器用</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负荷开关用</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组合电器用</w:t>
            </w: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设计和外观检查</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3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主回路绝缘试验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辅助回路和控制回路绝缘试验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温升试验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4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主回路电阻测量</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4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额定短路关合能力试验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4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3804"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额定短路开断能力试验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84"/>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主回路和接地回路的短时和峰值耐受电流试验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机械操作和机械特性试验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5"/>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容性电流开断和关合能力试验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24"/>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防误操作装置或电气、机械联锁装置功能的试验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防护等级试验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2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内部故障电弧试验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气箱密封试验</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3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一次设备与配电自动化终端配合调试</w:t>
            </w:r>
            <w:r>
              <w:rPr>
                <w:rFonts w:hint="eastAsia" w:ascii="微软雅黑" w:hAnsi="微软雅黑" w:cs="微软雅黑"/>
                <w:szCs w:val="21"/>
              </w:rPr>
            </w:r>
            <w:r/>
          </w:p>
        </w:tc>
        <w:tc>
          <w:tcPr>
            <w:tcW w:w="108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7"/>
        </w:trPr>
        <w:tc>
          <w:tcPr>
            <w:gridSpan w:val="5"/>
            <w:tcW w:w="8550" w:type="dxa"/>
            <w:vAlign w:val="top"/>
            <w:textDirection w:val="lrTb"/>
            <w:noWrap w:val="false"/>
          </w:tcPr>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注：1、“△”为必试项目；“*”为需要时进行的试验项目</w:t>
            </w:r>
            <w:r>
              <w:rPr>
                <w:rFonts w:hint="eastAsia" w:ascii="微软雅黑" w:hAnsi="微软雅黑" w:cs="微软雅黑"/>
                <w:szCs w:val="21"/>
              </w:rPr>
            </w:r>
            <w:r/>
          </w:p>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    2、环网柜中电流互感器、电压互感器、变压器及避雷器等元件按应相关标准进行的其它试验</w:t>
            </w:r>
            <w:r>
              <w:rPr>
                <w:rFonts w:hint="eastAsia" w:ascii="微软雅黑" w:hAnsi="微软雅黑" w:cs="微软雅黑"/>
                <w:szCs w:val="21"/>
              </w:rPr>
            </w:r>
            <w:r/>
          </w:p>
        </w:tc>
      </w:tr>
    </w:tbl>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5.5 交接试验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5.5.1 </w:t>
      </w:r>
      <w:r>
        <w:rPr>
          <w:rFonts w:hint="eastAsia" w:ascii="微软雅黑" w:hAnsi="微软雅黑" w:cs="微软雅黑"/>
          <w:szCs w:val="21"/>
        </w:rPr>
        <w:t xml:space="preserve">一般要求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现场交接试验应按GB 50150和 DL/T 404的要求进行；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每台产品必须经交接试验，所有试验结果均应符合产品的技术要求，合格后方能投运。</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5.5.2 </w:t>
      </w:r>
      <w:r>
        <w:rPr>
          <w:rFonts w:hint="eastAsia" w:ascii="微软雅黑" w:hAnsi="微软雅黑" w:cs="微软雅黑"/>
          <w:szCs w:val="21"/>
        </w:rPr>
        <w:t xml:space="preserve">交接试验项目见表6</w:t>
      </w:r>
      <w:r>
        <w:rPr>
          <w:rFonts w:hint="eastAsia" w:ascii="微软雅黑" w:hAnsi="微软雅黑" w:cs="微软雅黑"/>
          <w:szCs w:val="21"/>
        </w:rPr>
      </w:r>
      <w:r/>
    </w:p>
    <w:p>
      <w:pPr>
        <w:pStyle w:val="1044"/>
        <w:jc w:val="center"/>
        <w:spacing w:before="159" w:after="159" w:line="440" w:lineRule="exact"/>
        <w:tabs>
          <w:tab w:val="left" w:pos="360" w:leader="none"/>
          <w:tab w:val="left" w:pos="420" w:leader="none"/>
        </w:tabs>
        <w:rPr>
          <w:rFonts w:hint="eastAsia" w:ascii="微软雅黑" w:hAnsi="微软雅黑" w:cs="微软雅黑"/>
          <w:szCs w:val="21"/>
        </w:rPr>
      </w:pPr>
      <w:r>
        <w:rPr>
          <w:rFonts w:hint="eastAsia" w:ascii="微软雅黑" w:hAnsi="微软雅黑" w:cs="微软雅黑"/>
          <w:szCs w:val="21"/>
        </w:rPr>
        <w:t xml:space="preserve">表6交接试验项目</w:t>
      </w:r>
      <w:r>
        <w:rPr>
          <w:rFonts w:hint="eastAsia" w:ascii="微软雅黑" w:hAnsi="微软雅黑" w:cs="微软雅黑"/>
          <w:szCs w:val="21"/>
        </w:rPr>
      </w:r>
      <w:r/>
    </w:p>
    <w:tbl>
      <w:tblPr>
        <w:tblW w:w="85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3804"/>
        <w:gridCol w:w="1080"/>
        <w:gridCol w:w="1540"/>
        <w:gridCol w:w="1507"/>
      </w:tblGrid>
      <w:tr>
        <w:trPr>
          <w:cantSplit/>
          <w:trHeight w:val="400"/>
        </w:trPr>
        <w:tc>
          <w:tcPr>
            <w:tcW w:w="619"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3804" w:type="dxa"/>
            <w:vAlign w:val="center"/>
            <w:vMerge w:val="restart"/>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型式试验项目</w:t>
            </w:r>
            <w:r>
              <w:rPr>
                <w:rFonts w:hint="eastAsia" w:ascii="微软雅黑" w:hAnsi="微软雅黑" w:cs="微软雅黑"/>
                <w:szCs w:val="21"/>
              </w:rPr>
            </w:r>
            <w:r/>
          </w:p>
        </w:tc>
        <w:tc>
          <w:tcPr>
            <w:gridSpan w:val="3"/>
            <w:tcW w:w="412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功能单元的类别</w:t>
            </w:r>
            <w:r>
              <w:rPr>
                <w:rFonts w:hint="eastAsia" w:ascii="微软雅黑" w:hAnsi="微软雅黑" w:cs="微软雅黑"/>
                <w:szCs w:val="21"/>
              </w:rPr>
            </w:r>
            <w:r/>
          </w:p>
        </w:tc>
      </w:tr>
      <w:tr>
        <w:trPr>
          <w:cantSplit/>
          <w:trHeight w:val="90"/>
        </w:trPr>
        <w:tc>
          <w:tcPr>
            <w:tcW w:w="619" w:type="dxa"/>
            <w:vAlign w:val="center"/>
            <w:vMerge w:val="continue"/>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3804" w:type="dxa"/>
            <w:vAlign w:val="center"/>
            <w:vMerge w:val="continue"/>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断路器用</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负荷开关用</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组合电器用</w:t>
            </w:r>
            <w:r>
              <w:rPr>
                <w:rFonts w:hint="eastAsia" w:ascii="微软雅黑" w:hAnsi="微软雅黑" w:cs="微软雅黑"/>
                <w:szCs w:val="21"/>
              </w:rPr>
            </w:r>
            <w:r/>
          </w:p>
        </w:tc>
      </w:tr>
      <w:tr>
        <w:trPr>
          <w:trHeight w:val="252"/>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资料和外观检查</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38"/>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主回路1min工频耐压试验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辅助回路和控制回路绝缘试验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11"/>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主回路电阻测量</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4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机械操作试验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84"/>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功能检查试验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00"/>
        </w:trPr>
        <w:tc>
          <w:tcPr>
            <w:tcW w:w="619"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3804"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防误操作装置或电气、机械联锁装置功能的试验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288"/>
        </w:trPr>
        <w:tc>
          <w:tcPr>
            <w:tcW w:w="619" w:type="dxa"/>
            <w:vAlign w:val="center"/>
            <w:textDirection w:val="lrTb"/>
            <w:noWrap w:val="false"/>
          </w:tcPr>
          <w:p>
            <w:pPr>
              <w:pStyle w:val="1044"/>
              <w:jc w:val="center"/>
              <w:spacing w:line="440" w:lineRule="exact"/>
              <w:tabs>
                <w:tab w:val="left" w:pos="0" w:leader="none"/>
              </w:tabs>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3804" w:type="dxa"/>
            <w:vAlign w:val="center"/>
            <w:textDirection w:val="lrTb"/>
            <w:noWrap w:val="false"/>
          </w:tcPr>
          <w:p>
            <w:pPr>
              <w:pStyle w:val="1044"/>
              <w:spacing w:line="440" w:lineRule="exact"/>
              <w:tabs>
                <w:tab w:val="center" w:pos="1794" w:leader="none"/>
              </w:tabs>
              <w:rPr>
                <w:rFonts w:hint="eastAsia" w:ascii="微软雅黑" w:hAnsi="微软雅黑" w:cs="微软雅黑"/>
                <w:szCs w:val="21"/>
              </w:rPr>
            </w:pPr>
            <w:r>
              <w:rPr>
                <w:rFonts w:hint="eastAsia" w:ascii="微软雅黑" w:hAnsi="微软雅黑" w:cs="微软雅黑"/>
                <w:szCs w:val="21"/>
              </w:rPr>
              <w:t xml:space="preserve">环网单元中CT、PT、变压器及避雷器等元件按标准所应进行的交接试验</w:t>
            </w:r>
            <w:r>
              <w:rPr>
                <w:rFonts w:hint="eastAsia" w:ascii="微软雅黑" w:hAnsi="微软雅黑" w:cs="微软雅黑"/>
                <w:szCs w:val="21"/>
              </w:rPr>
            </w:r>
            <w:r/>
          </w:p>
        </w:tc>
        <w:tc>
          <w:tcPr>
            <w:tcW w:w="108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40"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07" w:type="dxa"/>
            <w:vAlign w:val="center"/>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rHeight w:val="377"/>
        </w:trPr>
        <w:tc>
          <w:tcPr>
            <w:gridSpan w:val="5"/>
            <w:tcW w:w="8550" w:type="dxa"/>
            <w:vAlign w:val="top"/>
            <w:textDirection w:val="lrTb"/>
            <w:noWrap w:val="false"/>
          </w:tcPr>
          <w:p>
            <w:pPr>
              <w:pStyle w:val="1044"/>
              <w:spacing w:line="440" w:lineRule="exact"/>
              <w:tabs>
                <w:tab w:val="left" w:pos="630" w:leader="none"/>
              </w:tabs>
              <w:rPr>
                <w:rFonts w:hint="eastAsia" w:ascii="微软雅黑" w:hAnsi="微软雅黑" w:cs="微软雅黑"/>
                <w:szCs w:val="21"/>
              </w:rPr>
            </w:pPr>
            <w:r>
              <w:rPr>
                <w:rFonts w:hint="eastAsia" w:ascii="微软雅黑" w:hAnsi="微软雅黑" w:cs="微软雅黑"/>
                <w:szCs w:val="21"/>
              </w:rPr>
              <w:t xml:space="preserve">注：“△”为必试项目</w:t>
            </w:r>
            <w:r>
              <w:rPr>
                <w:rFonts w:hint="eastAsia" w:ascii="微软雅黑" w:hAnsi="微软雅黑" w:cs="微软雅黑"/>
                <w:szCs w:val="21"/>
              </w:rPr>
            </w:r>
            <w:r/>
          </w:p>
        </w:tc>
      </w:tr>
    </w:tbl>
    <w:p>
      <w:pPr>
        <w:pStyle w:val="1044"/>
        <w:spacing w:line="440" w:lineRule="exact"/>
        <w:widowControl/>
        <w:rPr>
          <w:rFonts w:hint="eastAsia" w:ascii="微软雅黑" w:hAnsi="微软雅黑" w:cs="微软雅黑"/>
          <w:szCs w:val="21"/>
        </w:rPr>
      </w:pPr>
      <w:r>
        <w:rPr>
          <w:rFonts w:hint="eastAsia" w:ascii="微软雅黑" w:hAnsi="微软雅黑" w:cs="微软雅黑"/>
          <w:szCs w:val="21"/>
        </w:rPr>
        <w:t xml:space="preserve">5.6 试验方法及要求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5.6.1 </w:t>
      </w:r>
      <w:r>
        <w:rPr>
          <w:rFonts w:hint="eastAsia" w:ascii="微软雅黑" w:hAnsi="微软雅黑" w:cs="微软雅黑"/>
          <w:szCs w:val="21"/>
        </w:rPr>
        <w:t xml:space="preserve">绝缘试验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试验要求按DL/T 593的规定。凝露下的耐压试验，试验方法按DL/T 404的规定进行；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绝缘试验时，应在元件的布置能提供最不利的绝缘条件的组合方式上进行，如无法证明，应在各种可能的布置方案下进行试验。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5.6.2 </w:t>
      </w:r>
      <w:r>
        <w:rPr>
          <w:rFonts w:hint="eastAsia" w:ascii="微软雅黑" w:hAnsi="微软雅黑" w:cs="微软雅黑"/>
          <w:szCs w:val="21"/>
        </w:rPr>
        <w:t xml:space="preserve">局部放电试验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试验要求按GB/T 7354中的规定；</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试验结果判定：1.2U</w:t>
      </w:r>
      <w:r>
        <w:rPr>
          <w:rFonts w:hint="eastAsia" w:ascii="微软雅黑" w:hAnsi="微软雅黑" w:cs="微软雅黑"/>
          <w:szCs w:val="21"/>
          <w:vertAlign w:val="subscript"/>
        </w:rPr>
        <w:t xml:space="preserve">r</w:t>
      </w:r>
      <w:r>
        <w:rPr>
          <w:rFonts w:hint="eastAsia" w:ascii="微软雅黑" w:hAnsi="微软雅黑" w:cs="微软雅黑"/>
          <w:szCs w:val="21"/>
        </w:rPr>
        <w:t xml:space="preserve">下，局部放电量绝缘组件≤5pC，断路器柜、负荷开关柜、组合电气柜≤20pC，计量柜、PT柜≤80pC。</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5.6.3 </w:t>
      </w:r>
      <w:r>
        <w:rPr>
          <w:rFonts w:hint="eastAsia" w:ascii="微软雅黑" w:hAnsi="微软雅黑" w:cs="微软雅黑"/>
          <w:szCs w:val="21"/>
        </w:rPr>
        <w:t xml:space="preserve">温升试验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试验要求按DL/T 593的规定，对环网单元通入1.1倍的额定电流进行试验。对组合电器单元（或含有熔断器）的环网单元进行试验时，组合电器应按GB 16926的规定通入1.0倍额定电流进行试验；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温升试验应按正常使用条件安装，包括所有外壳、隔板等，并且在试验时应将盖板和门关闭；</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对某一单元的环网单元进行温升试验时，主母线及两边相邻的环网单元应通以电流，该电流所产生的功率损耗应与额定情况下相同。如果无法做到与实际工作条件一致，则允许以加热或隔热的方法来模拟其等价条件；</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 对于断路器、负荷开关、负荷开关－熔断器组合电器三种单元的温升试验应分别进行，不可互相替代；</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e) 试验结果判定：按DL/T 593的规定，熔断器的温升应符合GB/T 15166.2中的规定，温升试验后主回路的电阻变化不得大于温升试验前的20%。</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6.6.4 </w:t>
      </w:r>
      <w:r>
        <w:rPr>
          <w:rFonts w:hint="eastAsia" w:ascii="微软雅黑" w:hAnsi="微软雅黑" w:cs="微软雅黑"/>
          <w:szCs w:val="21"/>
        </w:rPr>
        <w:t xml:space="preserve">主回路电阻测量</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试验要求按DL/T 593的规定进行，其电阻值由产品技术条件规定。短路实验前后电阻变化不得大于20%；</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为了排除熔断器固有电阻分散性对回路电阻的表征产生影响时，可用阻抗可以忽略不计的导电棒代替熔断器后，进行直流电阻测量，此时应对导电棒的直流电阻进行记录；</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当额定电流等于或大于100A时，应以电流、电压法测量。</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5.6.5 </w:t>
      </w:r>
      <w:r>
        <w:rPr>
          <w:rFonts w:hint="eastAsia" w:ascii="微软雅黑" w:hAnsi="微软雅黑" w:cs="微软雅黑"/>
          <w:szCs w:val="21"/>
        </w:rPr>
        <w:t xml:space="preserve">短时耐受电流和峰值耐受电流试验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短时耐受电流和峰值耐受电流试验适用于断路器、负荷开关，对负荷开关－熔断器组合电器不适用。但考虑到组合电器的其它功能单元或支路（如接地开关、接地回路等），要求进行短时耐受电流和峰值耐受电流试验时，按DL/T 593规定进行；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环网单元应进行铭牌所规定的峰值耐受电流及短时耐受电流的试验，试验方法应符合DL/T 593中的规定，在三相回路上进行。在同一产品中有两种以上短时耐受电流及峰值耐受电流值时，如果结构及其所有组件和导体截面（如为设计最小截面）规格均相同，若已按规定的最大值进行，并通过了试验，对规定的较低值可以不进行试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在同一系列产品中（包括电压互感器单元在内），在进行出线柜试验时，应采用方案中最小额定电流配置的试品进行试验。在试验中，除为限制短路电流值和短路持续时间而装设的保护装置外，应保证其它的保护设施不动作。试验后，试品内的组件和导体不应产生有损于主回路正常工作的变形和损坏；</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 接地回路的试验按DL/T 404的规定进行。试验后，接地导体与接地网连接的汇流排等允许有一定程度的局部变形，但必须维持接地回路能继续正常工作。</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6.6.6 </w:t>
      </w:r>
      <w:r>
        <w:rPr>
          <w:rFonts w:hint="eastAsia" w:ascii="微软雅黑" w:hAnsi="微软雅黑" w:cs="微软雅黑"/>
          <w:szCs w:val="21"/>
        </w:rPr>
        <w:t xml:space="preserve">关合开断与电寿命试验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断路器的短路关合和开断试验、容性电流开合试验按DL/T 402规定进行，电寿命试验按DL/T 403规定进行；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负荷开关试验按GB 3804规定进行；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负荷开关－熔断器组合电器试验按GB 16926规定进行；</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 无论装何种开关设备的环网单元，进行开断试验前、后，均应进行主绝缘对地、相间及断口间的工频和冲击耐压试验。</w:t>
      </w:r>
      <w:r>
        <w:rPr>
          <w:rFonts w:hint="eastAsia" w:ascii="微软雅黑" w:hAnsi="微软雅黑" w:cs="微软雅黑"/>
          <w:szCs w:val="21"/>
        </w:rPr>
      </w:r>
      <w:r/>
    </w:p>
    <w:p>
      <w:pPr>
        <w:pStyle w:val="1044"/>
        <w:jc w:val="left"/>
        <w:spacing w:line="440" w:lineRule="exact"/>
        <w:widowControl/>
        <w:tabs>
          <w:tab w:val="center" w:pos="4201" w:leader="none"/>
          <w:tab w:val="right" w:pos="9298" w:leader="dot"/>
        </w:tabs>
        <w:rPr>
          <w:rFonts w:hint="eastAsia" w:ascii="微软雅黑" w:hAnsi="微软雅黑" w:cs="微软雅黑"/>
          <w:szCs w:val="21"/>
        </w:rPr>
        <w:outlineLvl w:val="4"/>
      </w:pPr>
      <w:r>
        <w:rPr>
          <w:rFonts w:hint="eastAsia" w:ascii="微软雅黑" w:hAnsi="微软雅黑" w:cs="微软雅黑"/>
          <w:szCs w:val="21"/>
        </w:rPr>
        <w:t xml:space="preserve">5.6.7 </w:t>
      </w:r>
      <w:r>
        <w:rPr>
          <w:rFonts w:hint="eastAsia" w:ascii="微软雅黑" w:hAnsi="微软雅黑" w:cs="微软雅黑"/>
          <w:szCs w:val="21"/>
        </w:rPr>
        <w:t xml:space="preserve">防护等级试验按DL/T 593的规定进行。</w:t>
      </w:r>
      <w:r>
        <w:rPr>
          <w:rFonts w:hint="eastAsia" w:ascii="微软雅黑" w:hAnsi="微软雅黑" w:cs="微软雅黑"/>
          <w:szCs w:val="21"/>
        </w:rPr>
      </w:r>
      <w:r/>
    </w:p>
    <w:p>
      <w:pPr>
        <w:pStyle w:val="1044"/>
        <w:jc w:val="left"/>
        <w:spacing w:line="440" w:lineRule="exact"/>
        <w:widowControl/>
        <w:tabs>
          <w:tab w:val="center" w:pos="4201" w:leader="none"/>
          <w:tab w:val="right" w:pos="9298" w:leader="dot"/>
        </w:tabs>
        <w:rPr>
          <w:rFonts w:hint="eastAsia" w:ascii="微软雅黑" w:hAnsi="微软雅黑" w:cs="微软雅黑"/>
          <w:szCs w:val="21"/>
        </w:rPr>
        <w:outlineLvl w:val="4"/>
      </w:pPr>
      <w:r>
        <w:rPr>
          <w:rFonts w:hint="eastAsia" w:ascii="微软雅黑" w:hAnsi="微软雅黑" w:cs="微软雅黑"/>
          <w:szCs w:val="21"/>
        </w:rPr>
        <w:t xml:space="preserve">5.6.8 </w:t>
      </w:r>
      <w:r>
        <w:rPr>
          <w:rFonts w:hint="eastAsia" w:ascii="微软雅黑" w:hAnsi="微软雅黑" w:cs="微软雅黑"/>
          <w:szCs w:val="21"/>
        </w:rPr>
        <w:t xml:space="preserve">内部燃弧试验的技术条件、方法及判据，按DL/T 404的规定进行，燃弧持续时间应≥0.5s。</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5.6.9 </w:t>
      </w:r>
      <w:r>
        <w:rPr>
          <w:rFonts w:hint="eastAsia" w:ascii="微软雅黑" w:hAnsi="微软雅黑" w:cs="微软雅黑"/>
          <w:szCs w:val="21"/>
        </w:rPr>
        <w:t xml:space="preserve">机械特性试验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除另有规定，试验应在试验现场周围空气温度下进行；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环网单元内主回路所装的断路器、负荷开关、隔离开关、接地开关的机械性能试验，在规定的操作电压范围内进行，应符合各自技术条件的要求；</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断路器（负荷开关）、隔离开关、接地开关应操作50次，可插拔部件应插入、抽出各25次，以检验其操作是否良好；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 环网单元中各组件均应按各自要求进行机械稳定性的考核。断路器、负荷开关、隔离开关分别按DL/T 402、GB 3804、DL/T 486中的相关规定进行。接地开关如果与隔离开关组合成一个整体，在进行隔离开关试验时，同时也进行接地开关的试验；如分别为两个组件，应按DL/T 486中的规定进行机械稳定性考核；</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e) 机械联锁部件的机械稳定性考核，按DL/T 593中的规定进行；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f) 进行机械稳定性试验前后的高压电器组件、部件，均应测量它的主回路电阻，其值应符合各自技术条件的要求，并应按本标准6.6.3的规定进行温升试验，其二次回路应保证性能良好；</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g) 绝缘外壳的机械强度应当用冲击试验来考核，其冲击力应加在外壳最薄弱的地点（如观察窗）。</w:t>
      </w:r>
      <w:r>
        <w:rPr>
          <w:rFonts w:hint="eastAsia" w:ascii="微软雅黑" w:hAnsi="微软雅黑" w:cs="微软雅黑"/>
          <w:szCs w:val="21"/>
        </w:rPr>
      </w:r>
      <w:r/>
    </w:p>
    <w:p>
      <w:pPr>
        <w:pStyle w:val="1044"/>
        <w:jc w:val="left"/>
        <w:spacing w:line="440" w:lineRule="exact"/>
        <w:widowControl/>
        <w:tabs>
          <w:tab w:val="center" w:pos="4201" w:leader="none"/>
          <w:tab w:val="right" w:pos="9298" w:leader="dot"/>
        </w:tabs>
        <w:rPr>
          <w:rFonts w:hint="eastAsia" w:ascii="微软雅黑" w:hAnsi="微软雅黑" w:cs="微软雅黑"/>
          <w:szCs w:val="21"/>
        </w:rPr>
        <w:outlineLvl w:val="3"/>
      </w:pPr>
      <w:r>
        <w:rPr>
          <w:rFonts w:hint="eastAsia" w:ascii="微软雅黑" w:hAnsi="微软雅黑" w:cs="微软雅黑"/>
          <w:szCs w:val="21"/>
        </w:rPr>
        <w:t xml:space="preserve">5.6.10 </w:t>
      </w:r>
      <w:r>
        <w:rPr>
          <w:rFonts w:hint="eastAsia" w:ascii="微软雅黑" w:hAnsi="微软雅黑" w:cs="微软雅黑"/>
          <w:szCs w:val="21"/>
        </w:rPr>
        <w:t xml:space="preserve">绝缘组件的动、静出线端或两端按各自所能承受的机械力，进行相应的抗弯或抗拉试验，试验参数应符合相关产品的技术条件及设计图样的规定。</w:t>
      </w:r>
      <w:r>
        <w:rPr>
          <w:rFonts w:hint="eastAsia" w:ascii="微软雅黑" w:hAnsi="微软雅黑" w:cs="微软雅黑"/>
          <w:szCs w:val="21"/>
        </w:rPr>
      </w:r>
      <w:r/>
    </w:p>
    <w:p>
      <w:pPr>
        <w:pStyle w:val="1044"/>
        <w:jc w:val="left"/>
        <w:spacing w:line="440" w:lineRule="exact"/>
        <w:widowControl/>
        <w:tabs>
          <w:tab w:val="center" w:pos="4201" w:leader="none"/>
          <w:tab w:val="right" w:pos="9298" w:leader="dot"/>
        </w:tabs>
        <w:rPr>
          <w:rFonts w:hint="eastAsia" w:ascii="微软雅黑" w:hAnsi="微软雅黑" w:cs="微软雅黑"/>
          <w:szCs w:val="21"/>
        </w:rPr>
        <w:outlineLvl w:val="3"/>
      </w:pPr>
      <w:r>
        <w:rPr>
          <w:rFonts w:hint="eastAsia" w:ascii="微软雅黑" w:hAnsi="微软雅黑" w:cs="微软雅黑"/>
          <w:szCs w:val="21"/>
        </w:rPr>
        <w:t xml:space="preserve">5.6.11 </w:t>
      </w:r>
      <w:r>
        <w:rPr>
          <w:rFonts w:hint="eastAsia" w:ascii="微软雅黑" w:hAnsi="微软雅黑" w:cs="微软雅黑"/>
          <w:szCs w:val="21"/>
        </w:rPr>
        <w:t xml:space="preserve">操作振动试验按DL/T 593的规定进行。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5.6.12 </w:t>
      </w:r>
      <w:r>
        <w:rPr>
          <w:rFonts w:hint="eastAsia" w:ascii="微软雅黑" w:hAnsi="微软雅黑" w:cs="微软雅黑"/>
          <w:szCs w:val="21"/>
        </w:rPr>
        <w:t xml:space="preserve">联锁试验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a）机械联锁和电气闭锁应符合“五防”规定；</w:t>
      </w:r>
      <w:r>
        <w:rPr>
          <w:rFonts w:hint="eastAsia" w:ascii="微软雅黑" w:hAnsi="微软雅黑" w:cs="微软雅黑"/>
          <w:szCs w:val="21"/>
        </w:rPr>
      </w:r>
      <w:r/>
    </w:p>
    <w:p>
      <w:pPr>
        <w:pStyle w:val="1044"/>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t xml:space="preserve">b) 连锁装置的机械操作试验，按DL/T 593的规定进行。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3"/>
      </w:pPr>
      <w:r>
        <w:rPr>
          <w:rFonts w:hint="eastAsia" w:ascii="微软雅黑" w:hAnsi="微软雅黑" w:cs="微软雅黑"/>
          <w:szCs w:val="21"/>
        </w:rPr>
        <w:t xml:space="preserve">6.6.14</w:t>
      </w:r>
      <w:r>
        <w:rPr>
          <w:rFonts w:hint="eastAsia" w:ascii="微软雅黑" w:hAnsi="微软雅黑" w:cs="微软雅黑"/>
          <w:szCs w:val="21"/>
        </w:rPr>
        <w:t xml:space="preserve">一次设备与终端联调试验</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a) 对于配备二次终端的环网单元还需要进行一次设备与终端的配合调试；</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b) 指示功能，终端指示状态与一次环网单元的状态应当一致，包括电源指示、位置指示、储能指示、相间过流指示、零序过流指示等；</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c) 控制功能，将环网单元设置为“远方”状态，通过终端进行合分操作不少于5次，环网单元均应当可靠动作；</w:t>
      </w:r>
      <w:r>
        <w:rPr>
          <w:rFonts w:hint="eastAsia" w:ascii="微软雅黑" w:hAnsi="微软雅黑" w:cs="微软雅黑"/>
          <w:szCs w:val="21"/>
        </w:rPr>
      </w:r>
      <w:r/>
    </w:p>
    <w:p>
      <w:pPr>
        <w:pStyle w:val="1044"/>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d) 电气连锁功能，当环网单元处于分闸接地状态时，终端遥控环网单元合闸时，环网单元应当不动作；</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e) 零序保护动作试验，该项试验适用于分界环网单元。要求该项试验最少分别在3个档位上进行，且环网单元均能够可靠分闸，终端能正确显示零序过流信号；</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f) 相间保护动作试验，该项试验适用于分界环网单元。要求该项试验最少分别在3个档位上进行，且最少在2相上进行重复测试，环网单元均能够可靠分闸，终端能正确显示相间过流信号；</w:t>
      </w:r>
      <w:r>
        <w:rPr>
          <w:rFonts w:hint="eastAsia" w:ascii="微软雅黑" w:hAnsi="微软雅黑" w:cs="微软雅黑"/>
          <w:szCs w:val="21"/>
        </w:rPr>
      </w:r>
      <w:r/>
    </w:p>
    <w:p>
      <w:pPr>
        <w:pStyle w:val="1044"/>
        <w:ind w:firstLine="16"/>
        <w:jc w:val="left"/>
        <w:spacing w:line="440" w:lineRule="exact"/>
        <w:widowControl/>
        <w:rPr>
          <w:rFonts w:hint="eastAsia" w:ascii="微软雅黑" w:hAnsi="微软雅黑" w:cs="微软雅黑"/>
          <w:szCs w:val="21"/>
        </w:rPr>
        <w:outlineLvl w:val="4"/>
      </w:pPr>
      <w:r>
        <w:rPr>
          <w:rFonts w:hint="eastAsia" w:ascii="微软雅黑" w:hAnsi="微软雅黑" w:cs="微软雅黑"/>
          <w:szCs w:val="21"/>
        </w:rPr>
        <w:t xml:space="preserve">g) 电流闭锁功能，在环网单元上施加大电流至终端上“过流”及“闭锁”指示灯亮时，投入零序保护，环网单元应当闭锁不动作。</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5.6.15</w:t>
      </w:r>
      <w:r>
        <w:rPr>
          <w:rFonts w:hint="eastAsia" w:ascii="微软雅黑" w:hAnsi="微软雅黑" w:cs="微软雅黑"/>
          <w:szCs w:val="21"/>
        </w:rPr>
        <w:t xml:space="preserve">电磁兼容测试按GB/T 11022中的规定进行</w:t>
      </w:r>
      <w:r>
        <w:rPr>
          <w:rFonts w:hint="eastAsia" w:ascii="微软雅黑" w:hAnsi="微软雅黑" w:cs="微软雅黑"/>
          <w:szCs w:val="21"/>
        </w:rPr>
      </w:r>
      <w:r/>
    </w:p>
    <w:p>
      <w:pPr>
        <w:pStyle w:val="1044"/>
        <w:numPr>
          <w:ilvl w:val="0"/>
          <w:numId w:val="11"/>
        </w:numPr>
        <w:keepLines/>
        <w:keepNext/>
        <w:spacing w:line="440" w:lineRule="exact"/>
        <w:rPr>
          <w:rFonts w:hint="eastAsia" w:ascii="微软雅黑" w:hAnsi="微软雅黑" w:cs="微软雅黑"/>
          <w:b/>
          <w:szCs w:val="21"/>
        </w:rPr>
        <w:outlineLvl w:val="0"/>
      </w:pPr>
      <w:r/>
      <w:bookmarkStart w:id="176" w:name="_Toc179977346"/>
      <w:r>
        <w:rPr>
          <w:rFonts w:hint="eastAsia" w:ascii="微软雅黑" w:hAnsi="微软雅黑" w:cs="微软雅黑"/>
          <w:b/>
          <w:szCs w:val="21"/>
        </w:rPr>
        <w:t xml:space="preserve">包装与运输要求</w:t>
      </w:r>
      <w:bookmarkEnd w:id="176"/>
      <w:r>
        <w:rPr>
          <w:rFonts w:hint="eastAsia" w:ascii="微软雅黑" w:hAnsi="微软雅黑" w:cs="微软雅黑"/>
          <w:b/>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6.1中标方应对设备的包装和运输到合同交货地负责。</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6.2中标方应以任何运输过程中都能保护设备不受到损坏的方式而设计和准备包装。且外包装应明确标明（但不限于）中标方名称、收货单位、项目名称。</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6.3运输中应注意装、卸，不能损坏包装或使产品变形、损坏。</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6.4包装应有足够的强度能在短途搬运、设备储存和装车、装船中承受较大冲击而不会散包。</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6.5在设备交付时应有包装清单。</w:t>
      </w:r>
      <w:r>
        <w:rPr>
          <w:rFonts w:hint="eastAsia" w:ascii="微软雅黑" w:hAnsi="微软雅黑" w:cs="微软雅黑"/>
          <w:szCs w:val="21"/>
        </w:rPr>
      </w:r>
      <w:r/>
    </w:p>
    <w:p>
      <w:pPr>
        <w:pStyle w:val="1044"/>
        <w:numPr>
          <w:ilvl w:val="0"/>
          <w:numId w:val="11"/>
        </w:numPr>
        <w:keepLines/>
        <w:keepNext/>
        <w:spacing w:line="440" w:lineRule="exact"/>
        <w:rPr>
          <w:rFonts w:hint="eastAsia" w:ascii="微软雅黑" w:hAnsi="微软雅黑" w:cs="微软雅黑"/>
          <w:b/>
          <w:szCs w:val="21"/>
        </w:rPr>
        <w:outlineLvl w:val="0"/>
      </w:pPr>
      <w:r/>
      <w:bookmarkStart w:id="177" w:name="_Toc179977347"/>
      <w:r>
        <w:rPr>
          <w:rFonts w:hint="eastAsia" w:ascii="微软雅黑" w:hAnsi="微软雅黑" w:cs="微软雅黑"/>
          <w:b/>
          <w:szCs w:val="21"/>
        </w:rPr>
        <w:t xml:space="preserve">质量验收要求</w:t>
      </w:r>
      <w:bookmarkEnd w:id="177"/>
      <w:r>
        <w:rPr>
          <w:rFonts w:hint="eastAsia" w:ascii="微软雅黑" w:hAnsi="微软雅黑" w:cs="微软雅黑"/>
          <w:b/>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7.1采购人有权对正在制造或制造完毕的产品选择一定数量进行抽查测试，检测产品质量或验证供应商试验的真实性，投标人应配合采购人做好抽查测试。</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7.2若有合同物资经检验和抽检不符合本技术规范的要求，采购人可以拒收，相关损失由供应商自行承担。</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7.3</w:t>
      </w:r>
      <w:r>
        <w:rPr>
          <w:rFonts w:hint="eastAsia" w:ascii="微软雅黑" w:hAnsi="微软雅黑" w:cs="微软雅黑"/>
          <w:szCs w:val="21"/>
          <w:lang w:eastAsia="zh-CN"/>
        </w:rPr>
        <w:t xml:space="preserve">采购人与中标人</w:t>
      </w:r>
      <w:r>
        <w:rPr>
          <w:rFonts w:hint="eastAsia" w:ascii="微软雅黑" w:hAnsi="微软雅黑" w:cs="微软雅黑"/>
          <w:szCs w:val="21"/>
        </w:rPr>
        <w:t xml:space="preserve">双方联合进行到样后的包装外观检查；</w:t>
      </w:r>
      <w:r>
        <w:rPr>
          <w:rFonts w:hint="eastAsia" w:ascii="微软雅黑" w:hAnsi="微软雅黑" w:cs="微软雅黑"/>
          <w:szCs w:val="21"/>
        </w:rPr>
      </w:r>
      <w:r/>
    </w:p>
    <w:p>
      <w:pPr>
        <w:pStyle w:val="1065"/>
        <w:spacing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7.4</w:t>
      </w:r>
      <w:r>
        <w:rPr>
          <w:rFonts w:hint="eastAsia" w:ascii="微软雅黑" w:hAnsi="微软雅黑" w:eastAsia="微软雅黑" w:cs="微软雅黑"/>
          <w:sz w:val="21"/>
          <w:szCs w:val="21"/>
          <w:lang w:eastAsia="zh-CN"/>
        </w:rPr>
        <w:t xml:space="preserve">采购人与中标人</w:t>
      </w:r>
      <w:r>
        <w:rPr>
          <w:rFonts w:hint="eastAsia" w:ascii="微软雅黑" w:hAnsi="微软雅黑" w:eastAsia="微软雅黑" w:cs="微软雅黑"/>
          <w:sz w:val="21"/>
          <w:szCs w:val="21"/>
        </w:rPr>
        <w:t xml:space="preserve">双方联合进行产品结构尺寸检查验收；</w:t>
      </w:r>
      <w:r>
        <w:rPr>
          <w:rFonts w:hint="eastAsia" w:ascii="微软雅黑" w:hAnsi="微软雅黑" w:eastAsia="微软雅黑" w:cs="微软雅黑"/>
          <w:sz w:val="21"/>
          <w:szCs w:val="21"/>
        </w:rPr>
      </w:r>
      <w:r/>
    </w:p>
    <w:p>
      <w:pPr>
        <w:pStyle w:val="1065"/>
        <w:spacing w:line="44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br w:type="page" w:clear="all"/>
      </w:r>
      <w:r>
        <w:rPr>
          <w:rFonts w:hint="eastAsia" w:ascii="微软雅黑" w:hAnsi="微软雅黑" w:eastAsia="微软雅黑" w:cs="微软雅黑"/>
          <w:sz w:val="21"/>
          <w:szCs w:val="21"/>
        </w:rPr>
        <w:t xml:space="preserve">附件</w:t>
      </w:r>
      <w:r>
        <w:rPr>
          <w:rFonts w:hint="eastAsia" w:ascii="微软雅黑" w:hAnsi="微软雅黑" w:eastAsia="微软雅黑" w:cs="微软雅黑"/>
          <w:sz w:val="21"/>
          <w:szCs w:val="21"/>
          <w:lang w:val="en-US" w:eastAsia="zh-CN"/>
        </w:rPr>
        <w:t xml:space="preserve">四</w:t>
      </w:r>
      <w:r>
        <w:rPr>
          <w:rFonts w:hint="eastAsia" w:ascii="微软雅黑" w:hAnsi="微软雅黑" w:eastAsia="微软雅黑" w:cs="微软雅黑"/>
          <w:sz w:val="21"/>
          <w:szCs w:val="21"/>
        </w:rPr>
        <w:t xml:space="preserve">、医科大学低压开关柜-技术规范书</w:t>
      </w:r>
      <w:r>
        <w:rPr>
          <w:rFonts w:hint="eastAsia" w:ascii="微软雅黑" w:hAnsi="微软雅黑" w:eastAsia="微软雅黑" w:cs="微软雅黑"/>
          <w:sz w:val="21"/>
          <w:szCs w:val="21"/>
        </w:rPr>
      </w:r>
      <w:r/>
    </w:p>
    <w:p>
      <w:pPr>
        <w:pStyle w:val="1044"/>
        <w:jc w:val="center"/>
        <w:spacing w:line="440" w:lineRule="exact"/>
        <w:rPr>
          <w:rFonts w:hint="eastAsia" w:eastAsia="方正小标宋_GBK"/>
          <w:sz w:val="44"/>
          <w:szCs w:val="44"/>
        </w:rPr>
        <w:outlineLvl w:val="1"/>
      </w:pPr>
      <w:r/>
      <w:bookmarkStart w:id="178" w:name="_Toc219086271"/>
      <w:r>
        <w:rPr>
          <w:rFonts w:hint="eastAsia" w:eastAsia="方正小标宋_GBK"/>
          <w:sz w:val="44"/>
          <w:szCs w:val="44"/>
        </w:rPr>
      </w:r>
      <w:r/>
    </w:p>
    <w:p>
      <w:pPr>
        <w:pStyle w:val="1044"/>
        <w:jc w:val="center"/>
        <w:spacing w:line="440" w:lineRule="exact"/>
        <w:rPr>
          <w:rFonts w:hint="eastAsia" w:ascii="微软雅黑" w:hAnsi="微软雅黑" w:cs="微软雅黑"/>
          <w:b/>
          <w:szCs w:val="21"/>
        </w:rPr>
        <w:outlineLvl w:val="1"/>
      </w:pPr>
      <w:r>
        <w:rPr>
          <w:rFonts w:hint="eastAsia" w:eastAsia="方正小标宋_GBK"/>
          <w:sz w:val="44"/>
          <w:szCs w:val="44"/>
        </w:rPr>
        <w:t xml:space="preserve">技术规范书</w:t>
      </w:r>
      <w:r>
        <w:rPr>
          <w:rFonts w:hint="eastAsia" w:ascii="微软雅黑" w:hAnsi="微软雅黑" w:cs="微软雅黑"/>
          <w:b/>
          <w:szCs w:val="21"/>
        </w:rPr>
      </w:r>
      <w:r/>
    </w:p>
    <w:p>
      <w:pPr>
        <w:pStyle w:val="1044"/>
        <w:spacing w:line="440" w:lineRule="exact"/>
        <w:rPr>
          <w:rFonts w:hint="eastAsia" w:ascii="微软雅黑" w:hAnsi="微软雅黑" w:cs="微软雅黑"/>
          <w:b/>
          <w:szCs w:val="21"/>
        </w:rPr>
        <w:outlineLvl w:val="1"/>
      </w:pPr>
      <w:r>
        <w:rPr>
          <w:rFonts w:hint="eastAsia" w:ascii="微软雅黑" w:hAnsi="微软雅黑" w:cs="微软雅黑"/>
          <w:b/>
          <w:szCs w:val="21"/>
        </w:rPr>
        <w:t xml:space="preserve">1  总则</w:t>
      </w:r>
      <w:bookmarkEnd w:id="178"/>
      <w:r>
        <w:rPr>
          <w:rFonts w:hint="eastAsia" w:ascii="微软雅黑" w:hAnsi="微软雅黑" w:cs="微软雅黑"/>
          <w:b/>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1.1 本部分规定了低压开关柜招标的总则、技术参数和性能要求、试验、包装、运输、交货的一般要求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1.2 本部分适用于低压开关柜招标。</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1.3 供应商生产前必须进行设计技术交底；</w:t>
      </w:r>
      <w:r>
        <w:rPr>
          <w:rFonts w:hint="eastAsia" w:ascii="微软雅黑" w:hAnsi="微软雅黑" w:cs="微软雅黑"/>
          <w:szCs w:val="21"/>
        </w:rPr>
      </w:r>
      <w:r/>
    </w:p>
    <w:p>
      <w:pPr>
        <w:pStyle w:val="1044"/>
        <w:ind w:firstLine="420"/>
        <w:spacing w:line="440" w:lineRule="exact"/>
        <w:rPr>
          <w:rFonts w:hint="eastAsia" w:ascii="微软雅黑" w:hAnsi="微软雅黑" w:cs="微软雅黑"/>
          <w:b/>
          <w:szCs w:val="21"/>
        </w:rPr>
        <w:outlineLvl w:val="1"/>
      </w:pPr>
      <w:r/>
      <w:bookmarkStart w:id="179" w:name="_Toc445922205"/>
      <w:r>
        <w:rPr>
          <w:rFonts w:hint="eastAsia" w:ascii="微软雅黑" w:hAnsi="微软雅黑" w:cs="微软雅黑"/>
          <w:b/>
          <w:szCs w:val="21"/>
        </w:rPr>
      </w:r>
      <w:r/>
    </w:p>
    <w:p>
      <w:pPr>
        <w:pStyle w:val="1044"/>
        <w:jc w:val="left"/>
        <w:spacing w:before="60" w:line="440" w:lineRule="exact"/>
        <w:rPr>
          <w:rFonts w:hint="eastAsia" w:ascii="微软雅黑" w:hAnsi="微软雅黑" w:cs="微软雅黑"/>
          <w:szCs w:val="21"/>
        </w:rPr>
        <w:outlineLvl w:val="0"/>
      </w:pPr>
      <w:r>
        <w:rPr>
          <w:rFonts w:hint="eastAsia" w:ascii="微软雅黑" w:hAnsi="微软雅黑" w:cs="微软雅黑"/>
          <w:szCs w:val="21"/>
        </w:rPr>
        <w:t xml:space="preserve">2　规范性引用文件</w:t>
      </w:r>
      <w:bookmarkEnd w:id="179"/>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下列文件对于本文件的应用是必不可少的。凡是注日期的引用文件，仅注日期的版本适用于本文件。凡是不注日期的引用文件，其最新版本（包括所有的修改单）适用于本文件。</w:t>
      </w:r>
      <w:r>
        <w:rPr>
          <w:rFonts w:hint="eastAsia" w:ascii="微软雅黑" w:hAnsi="微软雅黑" w:cs="微软雅黑"/>
          <w:szCs w:val="21"/>
        </w:rPr>
      </w:r>
      <w:r/>
    </w:p>
    <w:p>
      <w:pPr>
        <w:pStyle w:val="1044"/>
        <w:ind w:firstLine="480"/>
        <w:jc w:val="left"/>
        <w:keepLines/>
        <w:keepNext/>
        <w:spacing w:before="260" w:after="260" w:line="440" w:lineRule="exact"/>
        <w:rPr>
          <w:rFonts w:hint="eastAsia" w:ascii="微软雅黑" w:hAnsi="微软雅黑" w:cs="微软雅黑"/>
          <w:szCs w:val="21"/>
        </w:rPr>
        <w:outlineLvl w:val="2"/>
      </w:pPr>
      <w:r/>
      <w:bookmarkStart w:id="180" w:name="_Toc13427401"/>
      <w:r/>
      <w:bookmarkStart w:id="181" w:name="_Toc13437290"/>
      <w:r/>
      <w:bookmarkStart w:id="182" w:name="_Toc13436814"/>
      <w:r/>
      <w:bookmarkStart w:id="183" w:name="_Toc254966326"/>
      <w:r/>
      <w:bookmarkStart w:id="184" w:name="_Toc355884472"/>
      <w:r/>
      <w:bookmarkStart w:id="185" w:name="_Toc252452364"/>
      <w:r/>
      <w:bookmarkStart w:id="186" w:name="_Toc399245041"/>
      <w:r/>
      <w:bookmarkStart w:id="187" w:name="_Toc261963348"/>
      <w:r/>
      <w:bookmarkStart w:id="188" w:name="_Toc256607226"/>
      <w:r/>
      <w:bookmarkStart w:id="189" w:name="_Toc252450746"/>
      <w:r/>
      <w:bookmarkStart w:id="190" w:name="_Toc445922206"/>
      <w:r/>
      <w:bookmarkStart w:id="191" w:name="_Toc344384444"/>
      <w:r>
        <w:rPr>
          <w:rFonts w:hint="eastAsia" w:ascii="微软雅黑" w:hAnsi="微软雅黑" w:cs="微软雅黑"/>
          <w:szCs w:val="21"/>
        </w:rPr>
        <w:t xml:space="preserve">GB/T 7251.1-2013    《低压成套开关设备和控制设备 第1部分: 总则》</w:t>
      </w:r>
      <w:r>
        <w:rPr>
          <w:rFonts w:hint="eastAsia" w:ascii="微软雅黑" w:hAnsi="微软雅黑" w:cs="微软雅黑"/>
          <w:szCs w:val="21"/>
        </w:rPr>
      </w:r>
      <w:r/>
    </w:p>
    <w:p>
      <w:pPr>
        <w:pStyle w:val="1044"/>
        <w:ind w:firstLine="480"/>
        <w:jc w:val="left"/>
        <w:keepLines/>
        <w:keepNext/>
        <w:spacing w:before="260" w:after="260" w:line="440" w:lineRule="exact"/>
        <w:rPr>
          <w:rFonts w:hint="eastAsia" w:ascii="微软雅黑" w:hAnsi="微软雅黑" w:cs="微软雅黑"/>
          <w:szCs w:val="21"/>
        </w:rPr>
        <w:outlineLvl w:val="2"/>
      </w:pPr>
      <w:r>
        <w:rPr>
          <w:rFonts w:hint="eastAsia" w:ascii="微软雅黑" w:hAnsi="微软雅黑" w:cs="微软雅黑"/>
          <w:szCs w:val="21"/>
        </w:rPr>
        <w:t xml:space="preserve">GB/T 7251.12-2013   《低压成套开关设备和控制设备 第2部分: 成套电力开关和电力设备》</w:t>
      </w:r>
      <w:r>
        <w:rPr>
          <w:rFonts w:hint="eastAsia" w:ascii="微软雅黑" w:hAnsi="微软雅黑" w:cs="微软雅黑"/>
          <w:szCs w:val="21"/>
        </w:rPr>
      </w:r>
      <w:r/>
    </w:p>
    <w:p>
      <w:pPr>
        <w:pStyle w:val="1044"/>
        <w:ind w:firstLine="480"/>
        <w:jc w:val="left"/>
        <w:keepLines/>
        <w:keepNext/>
        <w:spacing w:before="260" w:after="260" w:line="440" w:lineRule="exact"/>
        <w:rPr>
          <w:rFonts w:hint="eastAsia" w:ascii="微软雅黑" w:hAnsi="微软雅黑" w:cs="微软雅黑"/>
          <w:szCs w:val="21"/>
        </w:rPr>
        <w:outlineLvl w:val="2"/>
      </w:pPr>
      <w:r>
        <w:rPr>
          <w:rFonts w:hint="eastAsia" w:ascii="微软雅黑" w:hAnsi="微软雅黑" w:cs="微软雅黑"/>
          <w:szCs w:val="21"/>
        </w:rPr>
        <w:t xml:space="preserve">GB/T 7251.8-2020    《低压成套开关设备和控制设备 智能型成套设备通用技术要求》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CQC3177-2021         《低压成套开关设备节能认证技术规范》</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14048.1-2012   《低压开关设备和控制设备 第1部分：总则》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14048.2-2008   《低压开关设备和控制设备 第2部分：断路器》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14048.3-2017   《低压开关设备和控制设备 第3部分: 开关、隔离器、隔离开关以及熔断器组合电器》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14048.4-2010   《低压开关设备和控制设备 第4-1部分：接触器和电动机起动器　机电式接触器和电动机起动器（含电动机保护器）》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14048.5-2017   《低压开关设备和控制设备 第5-1部分：控制电路电器和开关件 机电式控制电路电器》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15576-2008      《低压成套无功功率补偿装置》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20840.2-2014    《互感器 第2部分：电流互感器的补充技术要求》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7947-2010       《人机界面标志标识的基本和安全规则导体颜色或字母数字标识》</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20138-2006     《电器设备外壳对外界机械碰撞的防护等级（IK代码）》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4208-2017      《外壳防护等级(IP代码)》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17626-2008     《电磁兼容试验和测量技术》</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17626.2-2018《电磁兼容 试验和测量技术 静电放电抗扰度试验》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17626.3-2016《电磁兼容 试验和测量技术 射频电磁场辐射抗扰度试验》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17626.4-2008    《电磁兼容 试验和测量技术 电快速瞬变脉冲群抗扰度试验》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17626.5-2019《电磁兼容 试验和测量技术 浪涌(冲击)抗扰度试》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17626.6-2017《电磁兼容 试验和测量技术 射频场感应的传导骚扰抗扰度》</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17626.8-2006《电磁兼容 试验和测量技术 工频磁场抗扰度试验》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17626.11-2008《电磁兼容 试验和测量技术 电压暂降、短时中断和电压变化的抗扰度试验》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17626.16-2007《电磁兼容 试验和测量技术 0Hz～150kHz 共模传导骚扰抗扰度试验》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 50054-2011       《低压配电设计规范》</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10316-2013     《低压成套开关设备绝缘支撑部件和绝缘材料》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10323-2016     《低压抽出式成套开关设备和控制设备主电路用接插件》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61140-2002      《电击防护》</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61439-1-2011    《低压开关设备和控制设备成套装置》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60721-3-3 2002 《环境条件的分类 第3部分_环境参数组及其严酷程度的分类分级》</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2423.17-2008   《电工电子产品环境试验 第2部分：试验方法 试验Ka：盐雾》</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TR61641 E3 2014-09 《封闭式低压成套开关设备和控制设备在内部故障引起电弧情况下的试验导则》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18859-2016 《封闭式低压成套开关设备和控制设备 在内部故障引起电弧》</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60068-3-3-1991 《环境试验 第3-3部分: 指南 设备的地震试验方法》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GB/T2424.25-2000《电工电子产品环境试验第3部分: 试验导则地震试验方法》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20626.1-2017   《特殊环境条件 高原电工电子产品 第1部分：通用电工要求》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before="60" w:line="440" w:lineRule="exact"/>
        <w:rPr>
          <w:rFonts w:hint="eastAsia" w:ascii="微软雅黑" w:hAnsi="微软雅黑" w:cs="微软雅黑"/>
          <w:szCs w:val="21"/>
        </w:rPr>
        <w:outlineLvl w:val="0"/>
      </w:pPr>
      <w:r/>
      <w:bookmarkEnd w:id="180"/>
      <w:r/>
      <w:bookmarkEnd w:id="181"/>
      <w:r/>
      <w:bookmarkEnd w:id="182"/>
      <w:r>
        <w:rPr>
          <w:rFonts w:hint="eastAsia" w:ascii="微软雅黑" w:hAnsi="微软雅黑" w:cs="微软雅黑"/>
          <w:szCs w:val="21"/>
        </w:rPr>
        <w:t xml:space="preserve">3　技术参数和性能要求</w:t>
      </w:r>
      <w:bookmarkEnd w:id="183"/>
      <w:r/>
      <w:bookmarkEnd w:id="184"/>
      <w:r/>
      <w:bookmarkEnd w:id="185"/>
      <w:r/>
      <w:bookmarkEnd w:id="186"/>
      <w:r/>
      <w:bookmarkEnd w:id="187"/>
      <w:r/>
      <w:bookmarkEnd w:id="188"/>
      <w:r/>
      <w:bookmarkEnd w:id="189"/>
      <w:r/>
      <w:bookmarkEnd w:id="190"/>
      <w:r/>
      <w:bookmarkEnd w:id="191"/>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　开关柜技术参数低压开关柜型式为直立式、落地安装的金属封闭型低压开关柜，开关柜的骨架为垂直地面安装的自撑式结构, 柜体应采用高质素的敷铝锌板或冷轧钢板。柜体具有足够的机械和电气强度，保障所安装元件在正常使用及短路时能够承受所产生的机械应力和热应力，并能承受正常运输、安装的影响而不损坏。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3.1.1开关柜整体高度根据现场层高要求，不超过2400mm。</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3.1.2柜体分隔形式Form 3b，开关柜内的每个柜体分隔为三室，即水平母线隔室，功能单元隔室及电缆室，室与室之间用钢板或高强度阻燃环保塑料功能板相互隔开；</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内部应实现良好的分隔，开关柜外壳和内部金属板应实现可靠接地。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低压开关柜的进出线可采用电缆或封闭母线槽,并为上下出线位置可进行适当调整。</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3.1.3 每台框架断路器或插拔装置应布置在前开门的功能单元室内。功能单元室门应是刚性的，并在框架断路器、插拔装置移走或功能单元室空间留作将来使用的情况下把该功能单元室封闭起来。</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3.1.4低压开关柜体应采取为防止功能单元插拔操作过程中对母线的磨损和破坏的相关措施，同时也要保证在带电情况下的良好互换性和快速加装。</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3.1.5 功能单元有可靠的机械联锁，通过操作手柄控制，具有专用位置指示器，并配有鲜明的颜色及符号标示，为加强安全防范，操作手柄和断路器手柄定位后均可加挂锁。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3.1.6 在一次触头接通前，框架断路器的框架或插拔装置应可靠接地，并且在运行位置以及在一次触头分开一个安全距离以前的所有其它位置，框架断路器的框架或插拔装置应保持可靠接地。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3.1.7 低压开关柜应开设符合IP要求的通风孔。通风孔的设计和设置应使得当断路器在正常运行时或在短路情况下没有电弧或可熔金属喷出。</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3.1.8每个隔室应有足够空间便于检修维护。</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3.1.9 低压开关柜内的电器元件、裸露的带电导体和端子等的电气距离和爬电距离应符合有关标准，同时应适合使用的环境条件。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3.1.10 开关柜采用离墙式布置，柜后设有维护通道。</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3.1.11开关柜应可在柜顶或柜底进出线，深度柜体为1000mm。</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3.1.12 低压开关柜的外壳防护等级应至少为IP31。</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3.1.13 开关柜的设计和安装应便于维护和扩建，</w:t>
      </w:r>
      <w:bookmarkStart w:id="192" w:name="_Hlk134607295"/>
      <w:r>
        <w:rPr>
          <w:rFonts w:hint="eastAsia" w:ascii="微软雅黑" w:hAnsi="微软雅黑" w:cs="微软雅黑"/>
          <w:szCs w:val="21"/>
        </w:rPr>
        <w:t xml:space="preserve">水平母线采用预先装好的滑动连接铜排进行柜间水平母排连接，避免柜间母排开孔搭接</w:t>
      </w:r>
      <w:bookmarkEnd w:id="192"/>
      <w:r>
        <w:rPr>
          <w:rFonts w:hint="eastAsia" w:ascii="微软雅黑" w:hAnsi="微软雅黑" w:cs="微软雅黑"/>
          <w:szCs w:val="21"/>
        </w:rPr>
        <w:t xml:space="preserve">。</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3.1.14安装在开关柜上的断路器延伸操作手柄，应有明确的开关跳闸显示位置，防止开关跳闸状态下，延伸操作手柄误显示为合闸状态。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3.1.15抽屉单元带有导轨，设有运行、试验和分离位置，且有定位机构。抽屉在试验位置时，一次回路有可见断点，保证人员的绝对安全。同类型抽屉具有互换性，一旦发生故障，可以在系统供电情况下更换故障开关，迅速恢复供电。</w:t>
      </w:r>
      <w:r>
        <w:rPr>
          <w:rFonts w:hint="eastAsia" w:ascii="微软雅黑" w:hAnsi="微软雅黑" w:cs="微软雅黑"/>
          <w:szCs w:val="21"/>
        </w:rPr>
      </w:r>
      <w:r/>
    </w:p>
    <w:p>
      <w:pPr>
        <w:pStyle w:val="1044"/>
        <w:ind w:firstLine="420"/>
        <w:spacing w:line="440" w:lineRule="exact"/>
        <w:rPr>
          <w:rFonts w:hint="eastAsia" w:ascii="微软雅黑" w:hAnsi="微软雅黑" w:cs="微软雅黑"/>
          <w:color w:val="000000"/>
          <w:szCs w:val="21"/>
        </w:rPr>
      </w:pPr>
      <w:r>
        <w:rPr>
          <w:rFonts w:hint="eastAsia" w:ascii="微软雅黑" w:hAnsi="微软雅黑" w:cs="微软雅黑"/>
          <w:szCs w:val="21"/>
        </w:rPr>
        <w:t xml:space="preserve">3.1.16抽屉从工作位置拉到</w:t>
      </w:r>
      <w:r>
        <w:rPr>
          <w:rFonts w:hint="eastAsia" w:ascii="微软雅黑" w:hAnsi="微软雅黑" w:cs="微软雅黑"/>
          <w:color w:val="000000"/>
          <w:szCs w:val="21"/>
        </w:rPr>
        <w:t xml:space="preserve">试验位置时，二次系统的连接不应中断，有效确保通讯的稳定性和实时性。</w:t>
      </w:r>
      <w:bookmarkStart w:id="193" w:name="_Hlk134607583"/>
      <w:r>
        <w:rPr>
          <w:rFonts w:hint="eastAsia" w:ascii="微软雅黑" w:hAnsi="微软雅黑" w:cs="微软雅黑"/>
          <w:color w:val="000000"/>
          <w:szCs w:val="21"/>
        </w:rPr>
        <w:t xml:space="preserve">二次插接附件应与品牌柜同一品牌，应满足《JB/T 10263-2016低压抽出式成套开关设备和控制设备 辅助电路用插接件》并提供有效的国内权威机构的试验报告。</w:t>
      </w:r>
      <w:bookmarkEnd w:id="193"/>
      <w:r>
        <w:rPr>
          <w:rFonts w:hint="eastAsia" w:ascii="微软雅黑" w:hAnsi="微软雅黑" w:cs="微软雅黑"/>
          <w:color w:val="000000"/>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color w:val="000000"/>
          <w:szCs w:val="21"/>
        </w:rPr>
        <w:t xml:space="preserve">3.1.17抽屉柜应具有性能良好的一</w:t>
      </w:r>
      <w:r>
        <w:rPr>
          <w:rFonts w:hint="eastAsia" w:ascii="微软雅黑" w:hAnsi="微软雅黑" w:cs="微软雅黑"/>
          <w:szCs w:val="21"/>
        </w:rPr>
        <w:t xml:space="preserve">次接插件系统，同时也要保证抽屉单元良好的互换性和快速加装能力。</w:t>
      </w:r>
      <w:bookmarkStart w:id="194" w:name="_Hlk134607530"/>
      <w:r>
        <w:rPr>
          <w:rFonts w:hint="eastAsia" w:ascii="微软雅黑" w:hAnsi="微软雅黑" w:cs="微软雅黑"/>
          <w:szCs w:val="21"/>
        </w:rPr>
        <w:t xml:space="preserve">一次插接附件应与品牌柜同一品牌，应满足《JB/T 10323-2016低压抽出式成套开关设备和控制设备 主电路用插接件》并提供有效的国内权威机构的试验报告。将主电路插接固定后，从试验位置至接通位置，再返回试验位置为一个循环，以5次/min的频率连续进行1000次（不带电情况下）。试验后，插接件动、静触头及导电部件无损伤和变形现象。</w:t>
      </w:r>
      <w:bookmarkEnd w:id="194"/>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3.1.18 低压开关抽屉柜体应具有为防止功能单元插拔操作过程中对母线的磨损和破坏的相关措施，避免对母线系统的直接操作，同时也要保证良好的互换性和快速加装能力。</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bookmarkStart w:id="195" w:name="_Toc355884473"/>
      <w:r>
        <w:rPr>
          <w:rFonts w:hint="eastAsia" w:ascii="微软雅黑" w:hAnsi="微软雅黑" w:cs="微软雅黑"/>
          <w:szCs w:val="21"/>
        </w:rPr>
        <w:t xml:space="preserve">3.2　电流互感器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    进线及分段柜内电流互感器采用环氧树脂浇铸，出线柜内电流互感器采用塑壳式（塑壳式材质应具有阻燃性能），所有端子及紧固件应有足够的机械强度和良好的导电接触，有可靠的防腐镀层。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3.3 电路</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 主电路</w:t>
      </w:r>
      <w:r>
        <w:rPr>
          <w:rFonts w:hint="eastAsia" w:ascii="微软雅黑" w:hAnsi="微软雅黑" w:cs="微软雅黑"/>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1）各断路器主电路的导体和串联元件，应充分考虑各元件的参数配合。各元件的额定电流、额定短时耐受电流、额定峰值耐受电流应满足本技术条件的要求。</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2）短路保护元件在额定的参数范围内，应能可靠地分断短路电流。</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3）装置内短路保护元件的动作值应具有选择性。</w:t>
      </w:r>
      <w:r>
        <w:rPr>
          <w:rFonts w:hint="eastAsia" w:ascii="微软雅黑" w:hAnsi="微软雅黑" w:cs="微软雅黑"/>
          <w:bCs/>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3.3.2 辅助电路</w:t>
      </w:r>
      <w:r>
        <w:rPr>
          <w:rFonts w:hint="eastAsia" w:ascii="微软雅黑" w:hAnsi="微软雅黑" w:cs="微软雅黑"/>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1）用于控制、测量、信号、调节、数据处理等辅助电路的设计应采用电源接地系统，并保证接地故障或带电部件和裸露导电部件之间的故障不会引起误动作。</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2）辅助电路应装设保护元件，如果与主电路连接，则保护元件的短路分断能力应与主电路保护元件相同；</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3）辅助设备（仪表、继电器等）应能承受开关分、合闸产生的振动，而不会发生误动作；</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4）辅助电路、辅助设备的接线应有适当的保护，以防来自主电路意外燃弧的损坏。</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3.3.3 电气间隙、爬电距离和间隔距离</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3.3.4 主母线、配电母线、分支母线和主电路插接件带电部分之间以及带电部分与接地金属构件之间的电气间隙应满足相关标准要求。</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3.3.5 断路器处于分离位置时，断路器本体的插接件与配电母线（或静触头）的间隔距离应不小于25mm。即使机械寿命到期后亦应保持此距离。</w:t>
      </w:r>
      <w:r>
        <w:rPr>
          <w:rFonts w:hint="eastAsia" w:ascii="微软雅黑" w:hAnsi="微软雅黑" w:cs="微软雅黑"/>
          <w:bCs/>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3.4铭牌</w:t>
      </w:r>
      <w:r>
        <w:rPr>
          <w:rFonts w:hint="eastAsia" w:ascii="微软雅黑" w:hAnsi="微软雅黑" w:cs="微软雅黑"/>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1)每台开关柜应配备铭牌，铭牌应字迹清晰，安装应坚固、耐久，其位置应该是在装置安装好后，易于看见的地方。</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a) 制造商（生产厂）或商标；</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b) 产品名称或型号；</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c) 制造日期及出厂编号；</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d) 额定电流；</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e) 额定电压；</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f) 额定绝缘电压；</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g) 额定频率；</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    h) 防护等级</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2)开关柜内的电器组件铭牌，如断路器、互感器等均应有耐久清晰的铭牌；在正常运行中，各组件的铭牌应便于识别。</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3)设备铭牌为2mm有机玻璃材料，规格为200*50 mm。</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t xml:space="preserve">4)设备二次铭牌为聚脂纤维材料，规格为60*15 mm（仪表面板）。</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r>
      <w:r/>
    </w:p>
    <w:p>
      <w:pPr>
        <w:pStyle w:val="1044"/>
        <w:jc w:val="left"/>
        <w:spacing w:before="60" w:line="440" w:lineRule="exact"/>
        <w:rPr>
          <w:rFonts w:hint="eastAsia" w:ascii="微软雅黑" w:hAnsi="微软雅黑" w:cs="微软雅黑"/>
          <w:szCs w:val="21"/>
        </w:rPr>
        <w:outlineLvl w:val="0"/>
      </w:pPr>
      <w:r/>
      <w:bookmarkStart w:id="196" w:name="_Toc445922207"/>
      <w:r/>
      <w:bookmarkStart w:id="197" w:name="_Toc399245042"/>
      <w:r>
        <w:rPr>
          <w:rFonts w:hint="eastAsia" w:ascii="微软雅黑" w:hAnsi="微软雅黑" w:cs="微软雅黑"/>
          <w:szCs w:val="21"/>
        </w:rPr>
        <w:t xml:space="preserve">4　标准技术参数</w:t>
      </w:r>
      <w:bookmarkEnd w:id="196"/>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技术参数特性表是对采购设备的基础技术参数要求，投标人应对技术参数特性表中标准参数值进行响应。低压开关柜技术参数特性见表4。</w:t>
      </w:r>
      <w:r>
        <w:rPr>
          <w:rFonts w:hint="eastAsia" w:ascii="微软雅黑" w:hAnsi="微软雅黑" w:cs="微软雅黑"/>
          <w:szCs w:val="21"/>
        </w:rPr>
      </w:r>
      <w:r/>
    </w:p>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表4　技术参数特性表</w:t>
      </w:r>
      <w:r>
        <w:rPr>
          <w:rFonts w:hint="eastAsia" w:ascii="微软雅黑" w:hAnsi="微软雅黑" w:cs="微软雅黑"/>
          <w:szCs w:val="21"/>
        </w:rPr>
      </w:r>
      <w:r/>
    </w:p>
    <w:tbl>
      <w:tblPr>
        <w:tblW w:w="9087"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302"/>
        <w:gridCol w:w="3451"/>
        <w:gridCol w:w="3368"/>
      </w:tblGrid>
      <w:tr>
        <w:trPr>
          <w:tblHeader/>
        </w:trPr>
        <w:tc>
          <w:tcPr>
            <w:gridSpan w:val="2"/>
            <w:tcW w:w="226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名　　称</w:t>
            </w:r>
            <w:r>
              <w:rPr>
                <w:rFonts w:hint="eastAsia" w:ascii="微软雅黑" w:hAnsi="微软雅黑" w:cs="微软雅黑"/>
                <w:szCs w:val="21"/>
              </w:rPr>
            </w:r>
            <w:r/>
          </w:p>
        </w:tc>
        <w:tc>
          <w:tcPr>
            <w:tcW w:w="345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项　　目</w:t>
            </w:r>
            <w:r>
              <w:rPr>
                <w:rFonts w:hint="eastAsia" w:ascii="微软雅黑" w:hAnsi="微软雅黑" w:cs="微软雅黑"/>
                <w:szCs w:val="21"/>
              </w:rPr>
            </w:r>
            <w:r/>
          </w:p>
        </w:tc>
        <w:tc>
          <w:tcPr>
            <w:tcW w:w="336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标准参数值</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共用参数</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主要电气参数</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额定工作电压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400V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额定绝缘电压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660V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额定耐受电压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2500V（1min工频）</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水平母线</w:t>
            </w: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 (以图纸为准)</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母线（3L+N+PE）规格</w:t>
            </w:r>
            <w:r>
              <w:rPr>
                <w:rFonts w:hint="eastAsia" w:ascii="微软雅黑" w:hAnsi="微软雅黑" w:cs="微软雅黑"/>
                <w:szCs w:val="21"/>
              </w:rPr>
            </w:r>
            <w:r/>
          </w:p>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宽×厚</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额定短时耐受电流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65kA/1s</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额定峰值耐受电流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gridSpan w:val="2"/>
            <w:tcW w:w="4753"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防护等级</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IP31</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进线柜</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断路器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型式</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极数</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4P</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额定工作电压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660V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1250A</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额定极限分断能力</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65kA（框架断路器）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额定运行分断能力</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65kA（框架断路器）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额定绝缘电压</w:t>
            </w:r>
            <w:r>
              <w:rPr>
                <w:rFonts w:hint="eastAsia" w:ascii="微软雅黑" w:hAnsi="微软雅黑" w:cs="微软雅黑"/>
                <w:szCs w:val="21"/>
              </w:rPr>
              <w:tab/>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1000V（框架断路器）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额定冲击耐受电压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12kV（框架断路器）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机械寿命（免维护）　</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≥10000次</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进线柜</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断路器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电气寿命</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≥6000次</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断路器飞弧距离</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零</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是否带失压脱扣器</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否</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电流互感器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精度</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0.5级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变比</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详见招标图</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多功能数显表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有功</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无功</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2.0级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通信接口</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RS-485标准接口</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通信规约</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DL/T 645-1997</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柜体</w:t>
            </w:r>
            <w:r>
              <w:rPr>
                <w:rFonts w:hint="eastAsia" w:ascii="微软雅黑" w:hAnsi="微软雅黑" w:cs="微软雅黑"/>
                <w:szCs w:val="21"/>
              </w:rPr>
            </w:r>
            <w:r/>
          </w:p>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尺寸</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宽度（mm） </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800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深度（mm）</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高度（mm）</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2200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浪涌保护器</w:t>
            </w:r>
            <w:r>
              <w:rPr>
                <w:rFonts w:hint="eastAsia" w:ascii="微软雅黑" w:hAnsi="微软雅黑" w:cs="微软雅黑"/>
                <w:szCs w:val="21"/>
              </w:rPr>
            </w:r>
            <w:r/>
          </w:p>
        </w:tc>
        <w:tc>
          <w:tcPr>
            <w:tcW w:w="3451"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保护类型（IEC类别）</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I类</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标称工作电压（V）</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400V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最大持续工作电压（V）</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left"/>
              <w:spacing w:before="50" w:after="51" w:line="440" w:lineRule="exact"/>
              <w:rPr>
                <w:rFonts w:hint="eastAsia" w:ascii="微软雅黑" w:hAnsi="微软雅黑" w:cs="微软雅黑"/>
                <w:szCs w:val="21"/>
              </w:rPr>
            </w:pPr>
            <w:r>
              <w:rPr>
                <w:rFonts w:hint="eastAsia" w:ascii="微软雅黑" w:hAnsi="微软雅黑" w:cs="微软雅黑"/>
                <w:szCs w:val="21"/>
              </w:rPr>
              <w:t xml:space="preserve">标称放电电流(8/20uS)</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100kA</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电压保护水平（kV）</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gridSpan w:val="2"/>
            <w:tcW w:w="4753" w:type="dxa"/>
            <w:vAlign w:val="center"/>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进线方式</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侧进线/母线上进线（以图纸为准）</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分段柜</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断路器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型式</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极数</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4P</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额定工作电压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660V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1250A </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额定极限分断能力</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65kA（框架断路器）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额定运行分断能力</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65kA（框架断路器）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额定绝缘电压</w:t>
            </w:r>
            <w:r>
              <w:rPr>
                <w:rFonts w:hint="eastAsia" w:ascii="微软雅黑" w:hAnsi="微软雅黑" w:cs="微软雅黑"/>
                <w:szCs w:val="21"/>
              </w:rPr>
              <w:tab/>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1000V（框架断路器）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额定冲击耐受电压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12kV（框架断路器）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机械寿命（免维护）　</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≥10000次</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电气寿命</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≥6000次</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断路器飞弧距离</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零</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是否带失压脱扣器</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否</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电流互感器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精度</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0.5级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变比</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详见招标图</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多功能数显表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有功</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无功</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2.0级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通信接口</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RS-485标准接口</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通信规约</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DL/T 645-1997</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馈线柜</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垂直母线</w:t>
            </w:r>
            <w:r>
              <w:rPr>
                <w:rFonts w:hint="eastAsia" w:ascii="微软雅黑" w:hAnsi="微软雅黑" w:cs="微软雅黑"/>
                <w:szCs w:val="21"/>
              </w:rPr>
            </w:r>
            <w:r/>
          </w:p>
        </w:tc>
        <w:tc>
          <w:tcPr>
            <w:tcW w:w="3451"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≤1000A</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额定短时耐受电流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50kA/1s</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3451"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额定峰值耐受电流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断路器</w:t>
            </w: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出线配置</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(以图纸为准)</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型式</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框架、塑壳断路器，电子脱扣</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极数</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3P</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额定工作电压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400V（塑壳断路器）  </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详见招标图</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额定极限分断能力</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50kA（塑壳断路器）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额定运行分断能力</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50kA（塑壳断路器）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额定绝缘电压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660V（塑壳断路器）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额定冲击耐受电压</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8kV（塑壳断路器）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机械寿命（免维护）　</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≥10000次</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电气寿命　</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≥7000次（塑壳断路器）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是否带失压脱扣器</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否</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电流互感器</w:t>
            </w:r>
            <w:r>
              <w:rPr>
                <w:rFonts w:hint="eastAsia" w:ascii="微软雅黑" w:hAnsi="微软雅黑" w:cs="微软雅黑"/>
                <w:szCs w:val="21"/>
              </w:rPr>
            </w:r>
            <w:r/>
          </w:p>
        </w:tc>
        <w:tc>
          <w:tcPr>
            <w:tcW w:w="3451"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精度</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0.5级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变比</w:t>
            </w:r>
            <w:r>
              <w:rPr>
                <w:rFonts w:hint="eastAsia" w:ascii="微软雅黑" w:hAnsi="微软雅黑" w:cs="微软雅黑"/>
                <w:szCs w:val="21"/>
              </w:rPr>
            </w:r>
            <w:r/>
          </w:p>
        </w:tc>
        <w:tc>
          <w:tcPr>
            <w:tcW w:w="3368"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详见招标图</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电流表</w:t>
            </w: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三相数显式</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柜体尺寸</w:t>
            </w: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宽度（mm） </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600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深度（mm）</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3451"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高度（mm）</w:t>
            </w:r>
            <w:r>
              <w:rPr>
                <w:rFonts w:hint="eastAsia" w:ascii="微软雅黑" w:hAnsi="微软雅黑" w:cs="微软雅黑"/>
                <w:szCs w:val="21"/>
              </w:rPr>
            </w:r>
            <w:r/>
          </w:p>
        </w:tc>
        <w:tc>
          <w:tcPr>
            <w:tcW w:w="3368"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2200</w:t>
            </w:r>
            <w:r>
              <w:rPr>
                <w:rFonts w:hint="eastAsia" w:ascii="微软雅黑" w:hAnsi="微软雅黑" w:cs="微软雅黑"/>
                <w:szCs w:val="21"/>
              </w:rPr>
            </w:r>
            <w:r/>
          </w:p>
        </w:tc>
      </w:tr>
    </w:tbl>
    <w:p>
      <w:pPr>
        <w:pStyle w:val="1044"/>
        <w:jc w:val="center"/>
        <w:spacing w:before="60" w:line="440" w:lineRule="exact"/>
        <w:rPr>
          <w:rFonts w:hint="eastAsia" w:ascii="微软雅黑" w:hAnsi="微软雅黑" w:cs="微软雅黑"/>
          <w:szCs w:val="21"/>
        </w:rPr>
        <w:outlineLvl w:val="0"/>
      </w:pPr>
      <w:r/>
      <w:bookmarkStart w:id="198" w:name="_Toc355884481"/>
      <w:r/>
      <w:bookmarkStart w:id="199" w:name="_Toc445922208"/>
      <w:r>
        <w:rPr>
          <w:rFonts w:hint="eastAsia" w:ascii="微软雅黑" w:hAnsi="微软雅黑" w:cs="微软雅黑"/>
          <w:szCs w:val="21"/>
        </w:rPr>
        <w:t xml:space="preserve">4.1　使用环境条件表</w:t>
      </w:r>
      <w:bookmarkEnd w:id="198"/>
      <w:r/>
      <w:bookmarkEnd w:id="199"/>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使用环境条件见表5。特殊环境要求根据项目情况进行编制。</w:t>
      </w:r>
      <w:r>
        <w:rPr>
          <w:rFonts w:hint="eastAsia" w:ascii="微软雅黑" w:hAnsi="微软雅黑" w:cs="微软雅黑"/>
          <w:szCs w:val="21"/>
        </w:rPr>
      </w:r>
      <w:r/>
    </w:p>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表5　使用环境条件表</w:t>
      </w:r>
      <w:r>
        <w:rPr>
          <w:rFonts w:hint="eastAsia" w:ascii="微软雅黑" w:hAnsi="微软雅黑" w:cs="微软雅黑"/>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973"/>
        <w:gridCol w:w="1973"/>
        <w:gridCol w:w="1197"/>
        <w:gridCol w:w="2488"/>
      </w:tblGrid>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序号</w:t>
            </w:r>
            <w:r>
              <w:rPr>
                <w:rFonts w:hint="eastAsia" w:ascii="微软雅黑" w:hAnsi="微软雅黑" w:cs="微软雅黑"/>
                <w:bCs/>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名　　称</w:t>
            </w:r>
            <w:r>
              <w:rPr>
                <w:rFonts w:hint="eastAsia" w:ascii="微软雅黑" w:hAnsi="微软雅黑" w:cs="微软雅黑"/>
                <w:bCs/>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单位</w:t>
            </w:r>
            <w:r>
              <w:rPr>
                <w:rFonts w:hint="eastAsia" w:ascii="微软雅黑" w:hAnsi="微软雅黑" w:cs="微软雅黑"/>
                <w:bCs/>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项目需求值</w:t>
            </w:r>
            <w:r>
              <w:rPr>
                <w:rFonts w:hint="eastAsia" w:ascii="微软雅黑" w:hAnsi="微软雅黑" w:cs="微软雅黑"/>
                <w:bCs/>
                <w:szCs w:val="21"/>
              </w:rPr>
            </w:r>
            <w:r/>
          </w:p>
        </w:tc>
      </w:tr>
      <w:tr>
        <w:trPr>
          <w:cantSplit/>
        </w:trPr>
        <w:tc>
          <w:tcPr>
            <w:tcW w:w="891"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973"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周围空气温度</w:t>
            </w: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最高气温</w:t>
            </w:r>
            <w:r>
              <w:rPr>
                <w:rFonts w:hint="eastAsia" w:ascii="微软雅黑" w:hAnsi="微软雅黑" w:cs="微软雅黑"/>
                <w:szCs w:val="21"/>
              </w:rPr>
            </w:r>
            <w:r/>
          </w:p>
        </w:tc>
        <w:tc>
          <w:tcPr>
            <w:tcW w:w="1197"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+45</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最低气温</w:t>
            </w:r>
            <w:r>
              <w:rPr>
                <w:rFonts w:hint="eastAsia" w:ascii="微软雅黑" w:hAnsi="微软雅黑" w:cs="微软雅黑"/>
                <w:szCs w:val="21"/>
              </w:rPr>
            </w:r>
            <w:r/>
          </w:p>
        </w:tc>
        <w:tc>
          <w:tcPr>
            <w:tcW w:w="1197"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25</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最大日温差</w:t>
            </w:r>
            <w:r>
              <w:rPr>
                <w:rFonts w:hint="eastAsia" w:ascii="微软雅黑" w:hAnsi="微软雅黑" w:cs="微软雅黑"/>
                <w:szCs w:val="21"/>
              </w:rPr>
            </w:r>
            <w:r/>
          </w:p>
        </w:tc>
        <w:tc>
          <w:tcPr>
            <w:tcW w:w="1197" w:type="dxa"/>
            <w:vAlign w:val="center"/>
            <w:textDirection w:val="lrTb"/>
            <w:noWrap w:val="false"/>
          </w:tcPr>
          <w:p>
            <w:pPr>
              <w:pStyle w:val="1044"/>
              <w:numPr>
                <w:ilvl w:val="3"/>
                <w:numId w:val="13"/>
              </w:numPr>
              <w:jc w:val="center"/>
              <w:spacing w:before="60" w:after="60" w:line="440" w:lineRule="exact"/>
              <w:rPr>
                <w:rFonts w:hint="eastAsia" w:ascii="微软雅黑" w:hAnsi="微软雅黑" w:cs="微软雅黑"/>
                <w:szCs w:val="21"/>
              </w:rPr>
              <w:outlineLvl w:val="3"/>
            </w:pPr>
            <w:r>
              <w:rPr>
                <w:rFonts w:hint="eastAsia" w:ascii="微软雅黑" w:hAnsi="微软雅黑" w:cs="微软雅黑"/>
                <w:b/>
                <w:szCs w:val="21"/>
              </w:rPr>
              <w:t xml:space="preserve">K</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30</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海拔</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太阳辐射强度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W/cm</w:t>
            </w:r>
            <w:r>
              <w:rPr>
                <w:rFonts w:hint="eastAsia" w:ascii="微软雅黑" w:hAnsi="微软雅黑" w:cs="微软雅黑"/>
                <w:szCs w:val="21"/>
                <w:vertAlign w:val="superscript"/>
              </w:rPr>
              <w:t xml:space="preserve">2</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0.1</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污秽等级</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Ⅲ</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覆冰厚度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mm</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r>
      <w:tr>
        <w:trPr>
          <w:cantSplit/>
        </w:trPr>
        <w:tc>
          <w:tcPr>
            <w:tcW w:w="891"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973"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湿度</w:t>
            </w: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日相对湿度平均值</w:t>
            </w:r>
            <w:r>
              <w:rPr>
                <w:rFonts w:hint="eastAsia" w:ascii="微软雅黑" w:hAnsi="微软雅黑" w:cs="微软雅黑"/>
                <w:szCs w:val="21"/>
              </w:rPr>
            </w:r>
            <w:r/>
          </w:p>
        </w:tc>
        <w:tc>
          <w:tcPr>
            <w:tcW w:w="1197"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≤95</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月相对湿度平均值</w:t>
            </w:r>
            <w:r>
              <w:rPr>
                <w:rFonts w:hint="eastAsia" w:ascii="微软雅黑" w:hAnsi="微软雅黑" w:cs="微软雅黑"/>
                <w:szCs w:val="21"/>
              </w:rPr>
            </w:r>
            <w:r/>
          </w:p>
        </w:tc>
        <w:tc>
          <w:tcPr>
            <w:tcW w:w="1197"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≤90</w:t>
            </w:r>
            <w:r>
              <w:rPr>
                <w:rFonts w:hint="eastAsia" w:ascii="微软雅黑" w:hAnsi="微软雅黑" w:cs="微软雅黑"/>
                <w:szCs w:val="21"/>
              </w:rPr>
            </w:r>
            <w:r/>
          </w:p>
        </w:tc>
      </w:tr>
      <w:tr>
        <w:trPr>
          <w:cantSplit/>
        </w:trPr>
        <w:tc>
          <w:tcPr>
            <w:tcW w:w="891"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973"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耐受地震能力</w:t>
            </w: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水平加速度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m/s</w:t>
            </w:r>
            <w:r>
              <w:rPr>
                <w:rFonts w:hint="eastAsia" w:ascii="微软雅黑" w:hAnsi="微软雅黑" w:cs="微软雅黑"/>
                <w:szCs w:val="21"/>
                <w:vertAlign w:val="superscript"/>
              </w:rPr>
              <w:t xml:space="preserve">2</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3.0</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垂直加速度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m/s</w:t>
            </w:r>
            <w:r>
              <w:rPr>
                <w:rFonts w:hint="eastAsia" w:ascii="微软雅黑" w:hAnsi="微软雅黑" w:cs="微软雅黑"/>
                <w:szCs w:val="21"/>
                <w:vertAlign w:val="superscript"/>
              </w:rPr>
              <w:t xml:space="preserve">2</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由于主回路中的开合操作在辅助和控制</w:t>
            </w:r>
            <w:r>
              <w:rPr>
                <w:rFonts w:hint="eastAsia" w:ascii="微软雅黑" w:hAnsi="微软雅黑" w:cs="微软雅黑"/>
                <w:szCs w:val="21"/>
              </w:rPr>
              <w:br w:type="textWrapping" w:clear="all"/>
            </w:r>
            <w:r>
              <w:rPr>
                <w:rFonts w:hint="eastAsia" w:ascii="微软雅黑" w:hAnsi="微软雅黑" w:cs="微软雅黑"/>
                <w:szCs w:val="21"/>
              </w:rPr>
              <w:t xml:space="preserve">回路上所感应的共模电压的幅值</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kV</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r>
      <w:tr>
        <w:trPr/>
        <w:tc>
          <w:tcPr>
            <w:gridSpan w:val="5"/>
            <w:tcW w:w="8522" w:type="dxa"/>
            <w:vAlign w:val="center"/>
            <w:textDirection w:val="lrTb"/>
            <w:noWrap w:val="false"/>
          </w:tcPr>
          <w:p>
            <w:pPr>
              <w:pStyle w:val="1044"/>
              <w:ind w:left="510" w:hanging="340"/>
              <w:spacing w:before="60" w:after="60" w:line="440" w:lineRule="exact"/>
              <w:rPr>
                <w:rFonts w:hint="eastAsia" w:ascii="微软雅黑" w:hAnsi="微软雅黑" w:cs="微软雅黑"/>
                <w:szCs w:val="21"/>
              </w:rPr>
            </w:pPr>
            <w:r>
              <w:rPr>
                <w:rFonts w:hint="eastAsia" w:ascii="微软雅黑" w:hAnsi="微软雅黑" w:cs="微软雅黑"/>
                <w:szCs w:val="21"/>
              </w:rPr>
              <w:t xml:space="preserve">注：表中“项目需求值”为正常使用条件，超出此值时为特殊使用条件，采购人可根据工程实际使用条件进行修改。</w:t>
            </w:r>
            <w:r>
              <w:rPr>
                <w:rFonts w:hint="eastAsia" w:ascii="微软雅黑" w:hAnsi="微软雅黑" w:cs="微软雅黑"/>
                <w:szCs w:val="21"/>
              </w:rPr>
            </w:r>
            <w:r/>
          </w:p>
        </w:tc>
      </w:tr>
    </w:tbl>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p>
      <w:pPr>
        <w:pStyle w:val="1044"/>
        <w:jc w:val="left"/>
        <w:spacing w:before="60" w:line="440" w:lineRule="exact"/>
        <w:rPr>
          <w:rFonts w:hint="eastAsia" w:ascii="微软雅黑" w:hAnsi="微软雅黑" w:cs="微软雅黑"/>
          <w:szCs w:val="21"/>
        </w:rPr>
        <w:outlineLvl w:val="0"/>
      </w:pPr>
      <w:r/>
      <w:bookmarkStart w:id="200" w:name="_Toc445922209"/>
      <w:r>
        <w:rPr>
          <w:rFonts w:hint="eastAsia" w:ascii="微软雅黑" w:hAnsi="微软雅黑" w:cs="微软雅黑"/>
          <w:szCs w:val="21"/>
        </w:rPr>
        <w:t xml:space="preserve">5　试验</w:t>
      </w:r>
      <w:bookmarkEnd w:id="195"/>
      <w:r/>
      <w:bookmarkEnd w:id="197"/>
      <w:r/>
      <w:bookmarkEnd w:id="200"/>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5.1 试验内容及要求</w:t>
      </w:r>
      <w:r>
        <w:rPr>
          <w:rFonts w:hint="eastAsia" w:ascii="微软雅黑" w:hAnsi="微软雅黑" w:cs="微软雅黑"/>
          <w:szCs w:val="21"/>
        </w:rPr>
      </w:r>
      <w:r/>
    </w:p>
    <w:p>
      <w:pPr>
        <w:pStyle w:val="1044"/>
        <w:spacing w:line="440" w:lineRule="exact"/>
        <w:rPr>
          <w:rFonts w:hint="eastAsia" w:ascii="微软雅黑" w:hAnsi="微软雅黑" w:cs="微软雅黑"/>
          <w:bCs/>
          <w:spacing w:val="3"/>
          <w:szCs w:val="21"/>
        </w:rPr>
      </w:pPr>
      <w:r>
        <w:rPr>
          <w:rFonts w:hint="eastAsia" w:ascii="微软雅黑" w:hAnsi="微软雅黑" w:cs="微软雅黑"/>
          <w:szCs w:val="21"/>
        </w:rPr>
        <w:t xml:space="preserve">5.1.1  </w:t>
      </w:r>
      <w:bookmarkStart w:id="201" w:name="_Toc358552335"/>
      <w:r/>
      <w:bookmarkStart w:id="202" w:name="_Toc358552373"/>
      <w:r/>
      <w:bookmarkStart w:id="203" w:name="_Toc363381648"/>
      <w:r/>
      <w:bookmarkStart w:id="204" w:name="_Toc363243287"/>
      <w:r>
        <w:rPr>
          <w:rFonts w:hint="eastAsia" w:ascii="微软雅黑" w:hAnsi="微软雅黑" w:cs="微软雅黑"/>
          <w:bCs/>
          <w:spacing w:val="3"/>
          <w:szCs w:val="21"/>
        </w:rPr>
        <w:t xml:space="preserve">根据国家标准（GB）和最新版的IEC标准进行试验。试验中，要遵循并执行下列附加要求和IEC的补充说明。现场交接试验应符合标准的要求。</w:t>
      </w:r>
      <w:r>
        <w:rPr>
          <w:rFonts w:hint="eastAsia" w:ascii="微软雅黑" w:hAnsi="微软雅黑" w:cs="微软雅黑"/>
          <w:bCs/>
          <w:spacing w:val="3"/>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5.1.2 </w:t>
      </w:r>
      <w:bookmarkEnd w:id="201"/>
      <w:r/>
      <w:bookmarkEnd w:id="202"/>
      <w:r/>
      <w:bookmarkEnd w:id="203"/>
      <w:r/>
      <w:bookmarkEnd w:id="204"/>
      <w:r>
        <w:rPr>
          <w:rFonts w:hint="eastAsia" w:ascii="微软雅黑" w:hAnsi="微软雅黑" w:cs="微软雅黑"/>
          <w:szCs w:val="21"/>
        </w:rPr>
        <w:t xml:space="preserve"> </w:t>
      </w:r>
      <w:r>
        <w:rPr>
          <w:rFonts w:hint="eastAsia" w:ascii="微软雅黑" w:hAnsi="微软雅黑" w:cs="微软雅黑"/>
          <w:bCs/>
          <w:spacing w:val="3"/>
          <w:szCs w:val="21"/>
        </w:rPr>
        <w:t xml:space="preserve">低压开关柜进行随机抽样检验。</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5.1.3  </w:t>
      </w:r>
      <w:r>
        <w:rPr>
          <w:rFonts w:hint="eastAsia" w:ascii="微软雅黑" w:hAnsi="微软雅黑" w:cs="微软雅黑"/>
          <w:bCs/>
          <w:spacing w:val="3"/>
          <w:szCs w:val="21"/>
        </w:rPr>
        <w:t xml:space="preserve">型式试验、抽检试验、出厂试验和现场交接试验的试验项目见表6：</w:t>
      </w:r>
      <w:r>
        <w:rPr>
          <w:rFonts w:hint="eastAsia" w:ascii="微软雅黑" w:hAnsi="微软雅黑" w:cs="微软雅黑"/>
          <w:szCs w:val="21"/>
        </w:rPr>
      </w:r>
      <w:r/>
    </w:p>
    <w:p>
      <w:pPr>
        <w:pStyle w:val="1044"/>
        <w:ind w:left="720"/>
        <w:jc w:val="center"/>
        <w:spacing w:before="159" w:line="440" w:lineRule="exact"/>
        <w:tabs>
          <w:tab w:val="left" w:pos="420" w:leader="none"/>
        </w:tabs>
        <w:rPr>
          <w:rFonts w:hint="eastAsia" w:ascii="微软雅黑" w:hAnsi="微软雅黑" w:cs="微软雅黑"/>
          <w:szCs w:val="21"/>
        </w:rPr>
      </w:pPr>
      <w:r>
        <w:rPr>
          <w:rFonts w:hint="eastAsia" w:ascii="微软雅黑" w:hAnsi="微软雅黑" w:cs="微软雅黑"/>
          <w:szCs w:val="21"/>
        </w:rPr>
        <w:t xml:space="preserve">表6  型式试验、抽检试验、出厂试验和现场交接试验的试验项目</w:t>
      </w:r>
      <w:r>
        <w:rPr>
          <w:rFonts w:hint="eastAsia" w:ascii="微软雅黑" w:hAnsi="微软雅黑" w:cs="微软雅黑"/>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2738"/>
        <w:gridCol w:w="1514"/>
        <w:gridCol w:w="1513"/>
        <w:gridCol w:w="1513"/>
        <w:gridCol w:w="1344"/>
      </w:tblGrid>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2738"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试验项目</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型式试验</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出厂试验</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交接试验</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抽检试验</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一般检查</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绝缘电阻验证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介电性能验证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通电操作试验</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接地连续性试验</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温升极限的验证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短路耐受强度验证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保护电路有效性验证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电气间隙和爬电距离验证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机械操作验证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防护等级验证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bl>
    <w:p>
      <w:pPr>
        <w:pStyle w:val="1044"/>
        <w:spacing w:line="440" w:lineRule="exact"/>
        <w:rPr>
          <w:rFonts w:hint="eastAsia" w:ascii="微软雅黑" w:hAnsi="微软雅黑" w:cs="微软雅黑"/>
          <w:szCs w:val="21"/>
        </w:rPr>
      </w:pPr>
      <w:r/>
      <w:bookmarkStart w:id="205" w:name="_Toc363381649"/>
      <w:r/>
      <w:bookmarkStart w:id="206" w:name="_Toc358207234"/>
      <w:r/>
      <w:bookmarkStart w:id="207" w:name="_Toc358552336"/>
      <w:r/>
      <w:bookmarkStart w:id="208" w:name="_Toc363243288"/>
      <w:r/>
      <w:bookmarkStart w:id="209" w:name="_Toc358205703"/>
      <w:r/>
      <w:bookmarkStart w:id="210" w:name="_Toc358552374"/>
      <w:r/>
      <w:bookmarkStart w:id="211" w:name="_Toc358205635"/>
      <w:r/>
      <w:bookmarkStart w:id="212" w:name="_Toc358205726"/>
      <w:r>
        <w:rPr>
          <w:rFonts w:hint="eastAsia" w:ascii="微软雅黑" w:hAnsi="微软雅黑" w:cs="微软雅黑"/>
          <w:szCs w:val="21"/>
        </w:rPr>
        <w:t xml:space="preserve">5.2 型式试验、出厂试验、交接试验、抽检试验的试验方法及要求</w:t>
      </w:r>
      <w:bookmarkEnd w:id="205"/>
      <w:r/>
      <w:bookmarkEnd w:id="206"/>
      <w:r/>
      <w:bookmarkEnd w:id="207"/>
      <w:r/>
      <w:bookmarkEnd w:id="208"/>
      <w:r/>
      <w:bookmarkEnd w:id="209"/>
      <w:r/>
      <w:bookmarkEnd w:id="210"/>
      <w:r/>
      <w:bookmarkEnd w:id="211"/>
      <w:r/>
      <w:bookmarkEnd w:id="212"/>
      <w:r>
        <w:rPr>
          <w:rFonts w:hint="eastAsia" w:ascii="微软雅黑" w:hAnsi="微软雅黑" w:cs="微软雅黑"/>
          <w:szCs w:val="21"/>
        </w:rPr>
      </w:r>
      <w:r/>
    </w:p>
    <w:p>
      <w:pPr>
        <w:pStyle w:val="1044"/>
        <w:jc w:val="left"/>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5.2.1  一般检查</w:t>
      </w:r>
      <w:r>
        <w:rPr>
          <w:rFonts w:hint="eastAsia" w:ascii="微软雅黑" w:hAnsi="微软雅黑" w:cs="微软雅黑"/>
          <w:szCs w:val="21"/>
        </w:rPr>
      </w:r>
      <w:r/>
    </w:p>
    <w:p>
      <w:pPr>
        <w:pStyle w:val="1044"/>
        <w:ind w:left="840" w:hanging="420"/>
        <w:jc w:val="left"/>
        <w:spacing w:line="440" w:lineRule="exact"/>
        <w:tabs>
          <w:tab w:val="left" w:pos="420" w:leader="none"/>
        </w:tabs>
        <w:rPr>
          <w:rFonts w:hint="eastAsia" w:ascii="微软雅黑" w:hAnsi="微软雅黑" w:cs="微软雅黑"/>
          <w:szCs w:val="21"/>
        </w:rPr>
        <w:outlineLvl w:val="4"/>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对开关的机械操作元器件，连锁，锁扣等部件的有效性进行检查，机械操作试验试验结果判定：正常分合，灵活可靠，无卡滞及操作力过大现象，装置手动操作的部件5次，机构动作可靠。</w:t>
      </w:r>
      <w:r>
        <w:rPr>
          <w:rFonts w:hint="eastAsia" w:ascii="微软雅黑" w:hAnsi="微软雅黑" w:cs="微软雅黑"/>
          <w:szCs w:val="21"/>
        </w:rPr>
      </w:r>
      <w:r/>
    </w:p>
    <w:p>
      <w:pPr>
        <w:pStyle w:val="1044"/>
        <w:ind w:left="840" w:hanging="420"/>
        <w:jc w:val="left"/>
        <w:spacing w:line="440" w:lineRule="exact"/>
        <w:tabs>
          <w:tab w:val="left" w:pos="420" w:leader="none"/>
        </w:tabs>
        <w:rPr>
          <w:rFonts w:hint="eastAsia" w:ascii="微软雅黑" w:hAnsi="微软雅黑" w:cs="微软雅黑"/>
          <w:szCs w:val="21"/>
        </w:rPr>
        <w:outlineLvl w:val="4"/>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检查导线、电缆布置是否符合要求试验结果判定：主辅电器接线与接线图和技术数据相符，导体截面、颜色、标志及相序应符合要求。</w:t>
      </w:r>
      <w:r>
        <w:rPr>
          <w:rFonts w:hint="eastAsia" w:ascii="微软雅黑" w:hAnsi="微软雅黑" w:cs="微软雅黑"/>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bCs/>
          <w:spacing w:val="3"/>
          <w:szCs w:val="21"/>
        </w:rPr>
        <w:t xml:space="preserve">防护等级是否符合IP30</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试验结果判定：用φ2.5mm直硬钢丝作试验，不能进入壳内。</w:t>
      </w:r>
      <w:r>
        <w:rPr>
          <w:rFonts w:hint="eastAsia" w:ascii="微软雅黑" w:hAnsi="微软雅黑" w:cs="微软雅黑"/>
          <w:bCs/>
          <w:spacing w:val="3"/>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d）</w:t>
      </w:r>
      <w:r>
        <w:rPr>
          <w:rFonts w:hint="eastAsia" w:ascii="微软雅黑" w:hAnsi="微软雅黑" w:cs="微软雅黑"/>
          <w:szCs w:val="21"/>
        </w:rPr>
        <w:tab/>
      </w:r>
      <w:r>
        <w:rPr>
          <w:rFonts w:hint="eastAsia" w:ascii="微软雅黑" w:hAnsi="微软雅黑" w:cs="微软雅黑"/>
          <w:bCs/>
          <w:spacing w:val="3"/>
          <w:szCs w:val="21"/>
        </w:rPr>
        <w:t xml:space="preserve">标志是否符合要求</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试验结果判定：是否有主接地点和接地标志。</w:t>
      </w:r>
      <w:r>
        <w:rPr>
          <w:rFonts w:hint="eastAsia" w:ascii="微软雅黑" w:hAnsi="微软雅黑" w:cs="微软雅黑"/>
          <w:bCs/>
          <w:spacing w:val="3"/>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e）</w:t>
      </w:r>
      <w:r>
        <w:rPr>
          <w:rFonts w:hint="eastAsia" w:ascii="微软雅黑" w:hAnsi="微软雅黑" w:cs="微软雅黑"/>
          <w:szCs w:val="21"/>
        </w:rPr>
        <w:tab/>
      </w:r>
      <w:r>
        <w:rPr>
          <w:rFonts w:hint="eastAsia" w:ascii="微软雅黑" w:hAnsi="微软雅黑" w:cs="微软雅黑"/>
          <w:bCs/>
          <w:spacing w:val="3"/>
          <w:szCs w:val="21"/>
        </w:rPr>
        <w:t xml:space="preserve">铭牌检查</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试验结果判定：铭牌应清晰、牢固、壳体外表面涂层应协调。</w:t>
      </w:r>
      <w:r>
        <w:rPr>
          <w:rFonts w:hint="eastAsia" w:ascii="微软雅黑" w:hAnsi="微软雅黑" w:cs="微软雅黑"/>
          <w:bCs/>
          <w:spacing w:val="3"/>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f）</w:t>
      </w:r>
      <w:r>
        <w:rPr>
          <w:rFonts w:hint="eastAsia" w:ascii="微软雅黑" w:hAnsi="微软雅黑" w:cs="微软雅黑"/>
          <w:szCs w:val="21"/>
        </w:rPr>
        <w:tab/>
      </w:r>
      <w:r>
        <w:rPr>
          <w:rFonts w:hint="eastAsia" w:ascii="微软雅黑" w:hAnsi="微软雅黑" w:cs="微软雅黑"/>
          <w:bCs/>
          <w:spacing w:val="3"/>
          <w:szCs w:val="21"/>
        </w:rPr>
        <w:t xml:space="preserve">母线检查</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试验结果判定：母线应平整光滑、无毛刺、锤痕。</w:t>
      </w:r>
      <w:r>
        <w:rPr>
          <w:rFonts w:hint="eastAsia" w:ascii="微软雅黑" w:hAnsi="微软雅黑" w:cs="微软雅黑"/>
          <w:bCs/>
          <w:spacing w:val="3"/>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g）</w:t>
      </w:r>
      <w:r>
        <w:rPr>
          <w:rFonts w:hint="eastAsia" w:ascii="微软雅黑" w:hAnsi="微软雅黑" w:cs="微软雅黑"/>
          <w:szCs w:val="21"/>
        </w:rPr>
        <w:tab/>
      </w:r>
      <w:r>
        <w:rPr>
          <w:rFonts w:hint="eastAsia" w:ascii="微软雅黑" w:hAnsi="微软雅黑" w:cs="微软雅黑"/>
          <w:bCs/>
          <w:spacing w:val="3"/>
          <w:szCs w:val="21"/>
        </w:rPr>
        <w:t xml:space="preserve">是否安装了保护性设施</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试验结果判定：是否安装避雷器。</w:t>
      </w:r>
      <w:r>
        <w:rPr>
          <w:rFonts w:hint="eastAsia" w:ascii="微软雅黑" w:hAnsi="微软雅黑" w:cs="微软雅黑"/>
          <w:bCs/>
          <w:spacing w:val="3"/>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h）</w:t>
      </w:r>
      <w:r>
        <w:rPr>
          <w:rFonts w:hint="eastAsia" w:ascii="微软雅黑" w:hAnsi="微软雅黑" w:cs="微软雅黑"/>
          <w:szCs w:val="21"/>
        </w:rPr>
        <w:tab/>
      </w:r>
      <w:r>
        <w:rPr>
          <w:rFonts w:hint="eastAsia" w:ascii="微软雅黑" w:hAnsi="微软雅黑" w:cs="微软雅黑"/>
          <w:bCs/>
          <w:spacing w:val="3"/>
          <w:szCs w:val="21"/>
        </w:rPr>
        <w:t xml:space="preserve">电气间隙测量</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试验结果判定：大于等于14.0mm。</w:t>
      </w:r>
      <w:r>
        <w:rPr>
          <w:rFonts w:hint="eastAsia" w:ascii="微软雅黑" w:hAnsi="微软雅黑" w:cs="微软雅黑"/>
          <w:bCs/>
          <w:spacing w:val="3"/>
          <w:szCs w:val="21"/>
        </w:rPr>
      </w:r>
      <w:r/>
    </w:p>
    <w:p>
      <w:pPr>
        <w:pStyle w:val="1044"/>
        <w:ind w:left="840" w:hanging="420"/>
        <w:jc w:val="left"/>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i）</w:t>
      </w:r>
      <w:r>
        <w:rPr>
          <w:rFonts w:hint="eastAsia" w:ascii="微软雅黑" w:hAnsi="微软雅黑" w:cs="微软雅黑"/>
          <w:szCs w:val="21"/>
        </w:rPr>
        <w:tab/>
      </w:r>
      <w:r>
        <w:rPr>
          <w:rFonts w:hint="eastAsia" w:ascii="微软雅黑" w:hAnsi="微软雅黑" w:cs="微软雅黑"/>
          <w:bCs/>
          <w:spacing w:val="3"/>
          <w:szCs w:val="21"/>
        </w:rPr>
        <w:t xml:space="preserve">爬电距离测量</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试验结果判定：大于等于16.0mm。</w:t>
      </w:r>
      <w:r>
        <w:rPr>
          <w:rFonts w:hint="eastAsia" w:ascii="微软雅黑" w:hAnsi="微软雅黑" w:cs="微软雅黑"/>
          <w:bCs/>
          <w:spacing w:val="3"/>
          <w:szCs w:val="21"/>
        </w:rPr>
      </w:r>
      <w:r/>
    </w:p>
    <w:p>
      <w:pPr>
        <w:pStyle w:val="1044"/>
        <w:jc w:val="left"/>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5.2.2  绝缘电阻验证</w:t>
      </w:r>
      <w:r>
        <w:rPr>
          <w:rFonts w:hint="eastAsia" w:ascii="微软雅黑" w:hAnsi="微软雅黑" w:cs="微软雅黑"/>
          <w:szCs w:val="21"/>
        </w:rPr>
      </w:r>
      <w:r/>
    </w:p>
    <w:p>
      <w:pPr>
        <w:pStyle w:val="1044"/>
        <w:ind w:firstLine="420"/>
        <w:jc w:val="left"/>
        <w:spacing w:line="440" w:lineRule="exact"/>
        <w:rPr>
          <w:rFonts w:hint="eastAsia" w:ascii="微软雅黑" w:hAnsi="微软雅黑" w:cs="微软雅黑"/>
          <w:bCs/>
          <w:szCs w:val="21"/>
        </w:rPr>
      </w:pPr>
      <w:r>
        <w:rPr>
          <w:rFonts w:hint="eastAsia" w:ascii="微软雅黑" w:hAnsi="微软雅黑" w:cs="微软雅黑"/>
          <w:szCs w:val="21"/>
        </w:rPr>
        <w:t xml:space="preserve">应用电压至少为500V的绝缘测量仪器，对带电体之间、带电体与裸露导电部件之间、带电体对地的绝缘电阻进行测量。试验结果判定：带电体之间、带电体与裸露导电部件之间、带电体对地的绝缘电阻不小于1000Ω/V（标称电压），则此项试验通过。</w:t>
      </w:r>
      <w:r>
        <w:rPr>
          <w:rFonts w:hint="eastAsia" w:ascii="微软雅黑" w:hAnsi="微软雅黑" w:cs="微软雅黑"/>
          <w:bCs/>
          <w:szCs w:val="21"/>
        </w:rPr>
      </w:r>
      <w:r/>
    </w:p>
    <w:p>
      <w:pPr>
        <w:pStyle w:val="1044"/>
        <w:jc w:val="left"/>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5.2.3  工频耐压试验</w:t>
      </w:r>
      <w:r>
        <w:rPr>
          <w:rFonts w:hint="eastAsia" w:ascii="微软雅黑" w:hAnsi="微软雅黑" w:cs="微软雅黑"/>
          <w:szCs w:val="21"/>
        </w:rPr>
      </w:r>
      <w:r/>
    </w:p>
    <w:p>
      <w:pPr>
        <w:pStyle w:val="1044"/>
        <w:ind w:left="419" w:hanging="419"/>
        <w:jc w:val="left"/>
        <w:spacing w:before="50" w:after="156"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bCs/>
          <w:spacing w:val="3"/>
          <w:szCs w:val="21"/>
        </w:rPr>
        <w:t xml:space="preserve">1)主回路与主回路直接相连的辅助电路应能耐受表7规定的工频耐压试验电压。</w:t>
      </w:r>
      <w:r>
        <w:rPr>
          <w:rFonts w:hint="eastAsia" w:ascii="微软雅黑" w:hAnsi="微软雅黑" w:cs="微软雅黑"/>
          <w:bCs/>
          <w:spacing w:val="3"/>
          <w:szCs w:val="21"/>
        </w:rPr>
      </w:r>
      <w:r/>
    </w:p>
    <w:p>
      <w:pPr>
        <w:pStyle w:val="1044"/>
        <w:ind w:left="2520" w:firstLine="756"/>
        <w:spacing w:before="156" w:line="440" w:lineRule="exact"/>
        <w:tabs>
          <w:tab w:val="left" w:pos="420" w:leader="none"/>
        </w:tabs>
        <w:rPr>
          <w:rFonts w:hint="eastAsia" w:ascii="微软雅黑" w:hAnsi="微软雅黑" w:cs="微软雅黑"/>
          <w:bCs/>
          <w:spacing w:val="3"/>
          <w:szCs w:val="21"/>
        </w:rPr>
      </w:pPr>
      <w:r>
        <w:rPr>
          <w:rFonts w:hint="eastAsia" w:ascii="微软雅黑" w:hAnsi="微软雅黑" w:cs="微软雅黑"/>
          <w:bCs/>
          <w:spacing w:val="3"/>
          <w:szCs w:val="21"/>
        </w:rPr>
        <w:t xml:space="preserve">表7  试验电压值</w:t>
      </w:r>
      <w:r>
        <w:rPr>
          <w:rFonts w:hint="eastAsia" w:ascii="微软雅黑" w:hAnsi="微软雅黑" w:cs="微软雅黑"/>
          <w:bCs/>
          <w:spacing w:val="3"/>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7"/>
        <w:gridCol w:w="4641"/>
      </w:tblGrid>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额定绝缘电压Ui/V</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试验电压（交流方均根值）/V</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Ui≤60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60＜Ui≤300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2000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300＜Ui≤690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2500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690＜Ui≤800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3000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800＜Ui≤1000（或1140）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3500</w:t>
            </w:r>
            <w:r>
              <w:rPr>
                <w:rFonts w:hint="eastAsia" w:ascii="微软雅黑" w:hAnsi="微软雅黑" w:cs="微软雅黑"/>
                <w:szCs w:val="21"/>
              </w:rPr>
            </w:r>
            <w:r/>
          </w:p>
        </w:tc>
      </w:tr>
    </w:tbl>
    <w:p>
      <w:pPr>
        <w:pStyle w:val="1044"/>
        <w:ind w:left="1260" w:hanging="420"/>
        <w:spacing w:before="156" w:after="156"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bCs/>
          <w:spacing w:val="3"/>
          <w:szCs w:val="21"/>
        </w:rPr>
        <w:t xml:space="preserve">2)不与主回路直接相连的辅助电路应能耐受表8规定的工频耐压试验电压</w:t>
      </w:r>
      <w:r>
        <w:rPr>
          <w:rFonts w:hint="eastAsia" w:ascii="微软雅黑" w:hAnsi="微软雅黑" w:cs="微软雅黑"/>
          <w:bCs/>
          <w:spacing w:val="3"/>
          <w:szCs w:val="21"/>
        </w:rPr>
      </w:r>
      <w:r/>
    </w:p>
    <w:p>
      <w:pPr>
        <w:pStyle w:val="1044"/>
        <w:ind w:left="720"/>
        <w:jc w:val="center"/>
        <w:spacing w:before="159" w:line="440" w:lineRule="exact"/>
        <w:tabs>
          <w:tab w:val="left" w:pos="420" w:leader="none"/>
        </w:tabs>
        <w:rPr>
          <w:rFonts w:hint="eastAsia" w:ascii="微软雅黑" w:hAnsi="微软雅黑" w:cs="微软雅黑"/>
          <w:bCs/>
          <w:spacing w:val="3"/>
          <w:szCs w:val="21"/>
        </w:rPr>
      </w:pPr>
      <w:r>
        <w:rPr>
          <w:rFonts w:hint="eastAsia" w:ascii="微软雅黑" w:hAnsi="微软雅黑" w:cs="微软雅黑"/>
          <w:bCs/>
          <w:spacing w:val="3"/>
          <w:szCs w:val="21"/>
        </w:rPr>
        <w:t xml:space="preserve">    表8  不由主回路直接供电的辅助电路试验电压值</w:t>
      </w:r>
      <w:r>
        <w:rPr>
          <w:rFonts w:hint="eastAsia" w:ascii="微软雅黑" w:hAnsi="微软雅黑" w:cs="微软雅黑"/>
          <w:bCs/>
          <w:spacing w:val="3"/>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2"/>
        <w:gridCol w:w="4656"/>
      </w:tblGrid>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额定绝缘电压Ui/V</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试验电压（交流方均根值）/V</w:t>
            </w:r>
            <w:r>
              <w:rPr>
                <w:rFonts w:hint="eastAsia" w:ascii="微软雅黑" w:hAnsi="微软雅黑" w:cs="微软雅黑"/>
                <w:szCs w:val="21"/>
              </w:rPr>
            </w:r>
            <w:r/>
          </w:p>
        </w:tc>
      </w:tr>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Ui≤12</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250</w:t>
            </w:r>
            <w:r>
              <w:rPr>
                <w:rFonts w:hint="eastAsia" w:ascii="微软雅黑" w:hAnsi="微软雅黑" w:cs="微软雅黑"/>
                <w:szCs w:val="21"/>
              </w:rPr>
            </w:r>
            <w:r/>
          </w:p>
        </w:tc>
      </w:tr>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12＜Ui≤60</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500</w:t>
            </w:r>
            <w:r>
              <w:rPr>
                <w:rFonts w:hint="eastAsia" w:ascii="微软雅黑" w:hAnsi="微软雅黑" w:cs="微软雅黑"/>
                <w:szCs w:val="21"/>
              </w:rPr>
            </w:r>
            <w:r/>
          </w:p>
        </w:tc>
      </w:tr>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Ui＞60</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2Ui+1000，但不小于1500</w:t>
            </w:r>
            <w:r>
              <w:rPr>
                <w:rFonts w:hint="eastAsia" w:ascii="微软雅黑" w:hAnsi="微软雅黑" w:cs="微软雅黑"/>
                <w:szCs w:val="21"/>
              </w:rPr>
            </w:r>
            <w:r/>
          </w:p>
        </w:tc>
      </w:tr>
    </w:tbl>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5.2.4  通电操作试验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检查装置的内部接线正确无误后，在辅助电路分别通以额定电压的85%和110%，各操作5次。试验结果判定：电器元器件的动作显示均应符合相应要求，且各操作器件动作灵活。</w:t>
      </w:r>
      <w:r>
        <w:rPr>
          <w:rFonts w:hint="eastAsia" w:ascii="微软雅黑" w:hAnsi="微软雅黑" w:cs="微软雅黑"/>
          <w:bCs/>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5.2.5  温升极限的验证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7251.1-2005中8.2.1的规定。试验结果判定：测试结果应符合GB 7251.1-2005中8.2.1.7的规定。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5.2.6  短路耐受强度验证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7251.1-2005中8.2.3的规定。试验结果判定：测试结果应符合GB 7251.1-2005中8.2.3.2.5的规定。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5.2.7  保护电路有效性验证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7251.1-2005中8.2.4的规定。试验结果判定：测试结果应符合GB 7251.1-2005中8.2.4.3的规定。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5.2.8  电气间隙和爬电距离验证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7251.1-2005中8.2.5的规定。试验结果判定：测试结果应符合GB 7251.1-2005中7.1.2.1的规定。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5.2.9  机械操作验证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按GB 7251.1-2005中8.2.6的规定。试验结果判定：如果器件、联锁机构等的工作条件未受影响，而且所要求的操作力与试验前一样，则认为通过了此项试验。</w:t>
      </w:r>
      <w:r>
        <w:rPr>
          <w:rFonts w:hint="eastAsia" w:ascii="微软雅黑" w:hAnsi="微软雅黑" w:cs="微软雅黑"/>
          <w:bCs/>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5.2.10  防护等级验证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7251.1-2005中8.2.7的规定。试验结果判定：测试结果应符合GB 7251.1-2005中7.2.1和7.7的规定。</w:t>
      </w:r>
      <w:r>
        <w:rPr>
          <w:rFonts w:hint="eastAsia" w:ascii="微软雅黑" w:hAnsi="微软雅黑" w:cs="微软雅黑"/>
          <w:szCs w:val="21"/>
        </w:rPr>
      </w:r>
      <w:r/>
    </w:p>
    <w:p>
      <w:pPr>
        <w:pStyle w:val="1044"/>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r>
      <w:r/>
    </w:p>
    <w:p>
      <w:pPr>
        <w:pStyle w:val="1044"/>
        <w:jc w:val="center"/>
        <w:spacing w:line="440" w:lineRule="exact"/>
        <w:widowControl/>
        <w:rPr>
          <w:rFonts w:hint="eastAsia" w:ascii="微软雅黑" w:hAnsi="微软雅黑" w:cs="微软雅黑"/>
          <w:color w:val="000000"/>
          <w:szCs w:val="21"/>
          <w:lang w:bidi="ar"/>
        </w:rPr>
      </w:pPr>
      <w:r>
        <w:rPr>
          <w:rFonts w:hint="eastAsia" w:ascii="微软雅黑" w:hAnsi="微软雅黑" w:cs="微软雅黑"/>
          <w:color w:val="000000"/>
          <w:szCs w:val="21"/>
          <w:lang w:bidi="ar"/>
        </w:rPr>
      </w:r>
      <w:r/>
    </w:p>
    <w:p>
      <w:pPr>
        <w:pStyle w:val="1044"/>
        <w:spacing w:line="440" w:lineRule="exact"/>
        <w:rPr>
          <w:rFonts w:hint="eastAsia" w:ascii="微软雅黑" w:hAnsi="微软雅黑" w:cs="微软雅黑"/>
          <w:b/>
          <w:szCs w:val="21"/>
        </w:rPr>
        <w:outlineLvl w:val="1"/>
      </w:pPr>
      <w:r>
        <w:rPr>
          <w:rFonts w:hint="eastAsia" w:ascii="微软雅黑" w:hAnsi="微软雅黑" w:cs="微软雅黑"/>
          <w:b/>
          <w:szCs w:val="21"/>
        </w:rPr>
        <w:t xml:space="preserve">6  包装及运输</w:t>
      </w:r>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 包装</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6.1.1 供方必须根据国家标准和需方的实际运输条件, 将分接箱和所有零部件采用适合于铁路、公路和水路远途运输的包装箱进行包装好, 并将全套安装使用维护说明书、产品合格证明书、产品外形出厂图、运输尺寸图、产品拆卸件一览表、装箱单、铭牌图或铭牌标志图以及备品备件一览表等应妥善包装防止受潮。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6.1.2 大件和重件需在运输文件中附上尺寸图和重量, 并提供起吊图纸和说明, 包装箱上应有起吊标志。</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6.1.3 所需的备品备件及专用工具与仪器仪表应装在箱内, 在箱上注明“专用工具”、“仪器仪表”, 以与本体相区别; 并标明“防尘”、“防潮”、“防止损坏”、“易碎”、“向上”、“勿倒”等字样，同主设备一并发运。</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6.1.4 包装箱应连续编号, 不能有重号。包装箱外壁的文字与标志应耐受风吹日晒,不可因雨水冲刷而模糊不清,其内容应包括:</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(1) 合同号;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(2) 收货单位名称及地址;</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(3) 分接箱名称及型号;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(4) 毛重和分接箱总重;</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(5) 包装箱外形尺寸;</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 制造厂名称;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(7) 包装箱储运指示标志:“向上”、“防潮”、“小心轻放”、“由此吊起”等字样。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6.1.5 从供方发货至需方收到期间, 设备应完好无损。凡因包装不良而造成一切损失应由供方自负。</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 运输</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6.2.1 供方负责将设备安全运抵需方指定的地点。设备从生产厂家至需方指定地点的运输和装卸全部由供方完成。装运设备时, 需考虑便于现场卸货、搬运和安装。</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6.2.2运输方式：公路汽车运输或由需、供双方协商确定。</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6.2.3 在设备启运时, 供方应以最快捷的方式通知需方以下内容:</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(1) 设备名称;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(2) 件数、件号、重量;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(3) 合同号;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(4) 货运单号;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(5) 达到港（站）;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 设备发出日期。</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6.2.4设备运抵后供方收到需方通知的五天内，供方必须派人免费进行现场指导安装、调试及操作培训，所需器械和仪表由供方自行解决，并保证设备的安装质量。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r>
      <w:r/>
    </w:p>
    <w:p>
      <w:pPr>
        <w:pStyle w:val="1044"/>
        <w:spacing w:line="440" w:lineRule="exact"/>
        <w:rPr>
          <w:rFonts w:hint="eastAsia" w:ascii="微软雅黑" w:hAnsi="微软雅黑" w:cs="微软雅黑"/>
          <w:b/>
          <w:szCs w:val="21"/>
        </w:rPr>
        <w:outlineLvl w:val="1"/>
      </w:pPr>
      <w:r>
        <w:rPr>
          <w:rFonts w:hint="eastAsia" w:ascii="微软雅黑" w:hAnsi="微软雅黑" w:cs="微软雅黑"/>
          <w:b/>
          <w:szCs w:val="21"/>
        </w:rPr>
        <w:t xml:space="preserve">7  质量验收</w:t>
      </w:r>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color w:val="000000"/>
          <w:szCs w:val="21"/>
        </w:rPr>
        <w:t xml:space="preserve">7.1设备制造单位应保证产品制造过程中的所有工艺，元器件（包括供方的外包件在内）及试验等均应符合本原则的要求。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color w:val="000000"/>
          <w:szCs w:val="21"/>
        </w:rPr>
        <w:outlineLvl w:val="1"/>
      </w:pPr>
      <w:r>
        <w:rPr>
          <w:rFonts w:hint="eastAsia" w:ascii="微软雅黑" w:hAnsi="微软雅黑" w:cs="微软雅黑"/>
          <w:color w:val="000000"/>
          <w:szCs w:val="21"/>
        </w:rPr>
        <w:t xml:space="preserve">7.2</w:t>
      </w:r>
      <w:r>
        <w:rPr>
          <w:rFonts w:hint="eastAsia" w:ascii="微软雅黑" w:hAnsi="微软雅黑" w:cs="微软雅黑"/>
          <w:color w:val="000000"/>
          <w:szCs w:val="21"/>
          <w:lang w:eastAsia="zh-CN"/>
        </w:rPr>
        <w:t xml:space="preserve">发包人</w:t>
      </w:r>
      <w:r>
        <w:rPr>
          <w:rFonts w:hint="eastAsia" w:ascii="微软雅黑" w:hAnsi="微软雅黑" w:cs="微软雅黑"/>
          <w:color w:val="000000"/>
          <w:szCs w:val="21"/>
        </w:rPr>
        <w:t xml:space="preserve">有权对正在制造或制造完毕的产品，选择一定数量，进行抽查测试，检测产品质量或验证供应商试验的真实性，</w:t>
      </w:r>
      <w:r>
        <w:rPr>
          <w:rFonts w:hint="eastAsia" w:ascii="微软雅黑" w:hAnsi="微软雅黑" w:cs="微软雅黑"/>
          <w:color w:val="000000"/>
          <w:szCs w:val="21"/>
          <w:lang w:eastAsia="zh-CN"/>
        </w:rPr>
        <w:t xml:space="preserve">承包人</w:t>
      </w:r>
      <w:r>
        <w:rPr>
          <w:rFonts w:hint="eastAsia" w:ascii="微软雅黑" w:hAnsi="微软雅黑" w:cs="微软雅黑"/>
          <w:color w:val="000000"/>
          <w:szCs w:val="21"/>
        </w:rPr>
        <w:t xml:space="preserve">应配合</w:t>
      </w:r>
      <w:r>
        <w:rPr>
          <w:rFonts w:hint="eastAsia" w:ascii="微软雅黑" w:hAnsi="微软雅黑" w:cs="微软雅黑"/>
          <w:color w:val="000000"/>
          <w:szCs w:val="21"/>
          <w:lang w:eastAsia="zh-CN"/>
        </w:rPr>
        <w:t xml:space="preserve">发包人</w:t>
      </w:r>
      <w:r>
        <w:rPr>
          <w:rFonts w:hint="eastAsia" w:ascii="微软雅黑" w:hAnsi="微软雅黑" w:cs="微软雅黑"/>
          <w:color w:val="000000"/>
          <w:szCs w:val="21"/>
        </w:rPr>
        <w:t xml:space="preserve">做好抽查测试。</w:t>
      </w:r>
      <w:r>
        <w:rPr>
          <w:rFonts w:hint="eastAsia" w:ascii="微软雅黑" w:hAnsi="微软雅黑" w:cs="微软雅黑"/>
          <w:color w:val="000000"/>
          <w:szCs w:val="21"/>
        </w:rPr>
      </w:r>
      <w:r/>
    </w:p>
    <w:p>
      <w:pPr>
        <w:pStyle w:val="1044"/>
        <w:ind w:firstLine="420"/>
        <w:spacing w:line="440" w:lineRule="exact"/>
        <w:rPr>
          <w:rFonts w:hint="eastAsia" w:ascii="微软雅黑" w:hAnsi="微软雅黑" w:cs="微软雅黑"/>
          <w:color w:val="000000"/>
          <w:szCs w:val="21"/>
        </w:rPr>
        <w:outlineLvl w:val="1"/>
      </w:pPr>
      <w:r>
        <w:rPr>
          <w:rFonts w:hint="eastAsia" w:ascii="微软雅黑" w:hAnsi="微软雅黑" w:cs="微软雅黑"/>
          <w:color w:val="000000"/>
          <w:szCs w:val="21"/>
        </w:rPr>
        <w:t xml:space="preserve">7.3若有合同设备经检验和抽检不符合技术规范的要求，</w:t>
      </w:r>
      <w:r>
        <w:rPr>
          <w:rFonts w:hint="eastAsia" w:ascii="微软雅黑" w:hAnsi="微软雅黑" w:cs="微软雅黑"/>
          <w:color w:val="000000"/>
          <w:szCs w:val="21"/>
          <w:lang w:eastAsia="zh-CN"/>
        </w:rPr>
        <w:t xml:space="preserve">发包人</w:t>
      </w:r>
      <w:r>
        <w:rPr>
          <w:rFonts w:hint="eastAsia" w:ascii="微软雅黑" w:hAnsi="微软雅黑" w:cs="微软雅黑"/>
          <w:color w:val="000000"/>
          <w:szCs w:val="21"/>
        </w:rPr>
        <w:t xml:space="preserve">可以拒收。</w:t>
      </w:r>
      <w:r>
        <w:rPr>
          <w:rFonts w:hint="eastAsia" w:ascii="微软雅黑" w:hAnsi="微软雅黑" w:cs="微软雅黑"/>
          <w:color w:val="000000"/>
          <w:szCs w:val="21"/>
        </w:rPr>
      </w:r>
      <w:r/>
    </w:p>
    <w:p>
      <w:pPr>
        <w:pStyle w:val="1044"/>
        <w:spacing w:line="440" w:lineRule="exact"/>
        <w:rPr>
          <w:rFonts w:hint="eastAsia" w:ascii="微软雅黑" w:hAnsi="微软雅黑" w:cs="微软雅黑"/>
          <w:color w:val="000000"/>
          <w:szCs w:val="21"/>
        </w:rPr>
      </w:pPr>
      <w:r>
        <w:rPr>
          <w:rFonts w:hint="eastAsia" w:ascii="微软雅黑" w:hAnsi="微软雅黑" w:cs="微软雅黑"/>
          <w:color w:val="000000"/>
          <w:szCs w:val="21"/>
        </w:rPr>
        <w:br w:type="page" w:clear="all"/>
      </w:r>
      <w:r>
        <w:rPr>
          <w:rFonts w:hint="eastAsia" w:ascii="微软雅黑" w:hAnsi="微软雅黑" w:cs="微软雅黑"/>
          <w:color w:val="000000"/>
          <w:szCs w:val="21"/>
        </w:rPr>
        <w:t xml:space="preserve">附件</w:t>
      </w:r>
      <w:r>
        <w:rPr>
          <w:rFonts w:hint="eastAsia" w:ascii="微软雅黑" w:hAnsi="微软雅黑" w:cs="微软雅黑"/>
          <w:color w:val="000000"/>
          <w:szCs w:val="21"/>
          <w:lang w:val="en-US" w:eastAsia="zh-CN"/>
        </w:rPr>
        <w:t xml:space="preserve">五</w:t>
      </w:r>
      <w:r>
        <w:rPr>
          <w:rFonts w:hint="eastAsia" w:ascii="微软雅黑" w:hAnsi="微软雅黑" w:cs="微软雅黑"/>
          <w:color w:val="000000"/>
          <w:szCs w:val="21"/>
        </w:rPr>
        <w:t xml:space="preserve">、医科大学低压电容柜-技术规范书</w:t>
      </w:r>
      <w:r>
        <w:rPr>
          <w:rFonts w:hint="eastAsia" w:ascii="微软雅黑" w:hAnsi="微软雅黑" w:cs="微软雅黑"/>
          <w:color w:val="000000"/>
          <w:szCs w:val="21"/>
        </w:rPr>
      </w:r>
      <w:r/>
    </w:p>
    <w:p>
      <w:pPr>
        <w:pStyle w:val="1044"/>
        <w:spacing w:line="440" w:lineRule="exact"/>
        <w:rPr>
          <w:rFonts w:hint="eastAsia" w:eastAsia="方正小标宋_GBK"/>
          <w:sz w:val="44"/>
          <w:szCs w:val="44"/>
        </w:rPr>
      </w:pPr>
      <w:r>
        <w:rPr>
          <w:rFonts w:hint="eastAsia" w:eastAsia="方正小标宋_GBK"/>
          <w:sz w:val="44"/>
          <w:szCs w:val="44"/>
        </w:rPr>
      </w:r>
      <w:r/>
    </w:p>
    <w:p>
      <w:pPr>
        <w:pStyle w:val="1044"/>
        <w:jc w:val="center"/>
        <w:spacing w:line="440" w:lineRule="exact"/>
        <w:rPr>
          <w:rFonts w:hint="eastAsia" w:ascii="微软雅黑" w:hAnsi="微软雅黑" w:cs="微软雅黑"/>
          <w:color w:val="000000"/>
          <w:szCs w:val="21"/>
        </w:rPr>
      </w:pPr>
      <w:r>
        <w:rPr>
          <w:rFonts w:hint="eastAsia" w:eastAsia="方正小标宋_GBK"/>
          <w:sz w:val="44"/>
          <w:szCs w:val="44"/>
        </w:rPr>
        <w:t xml:space="preserve">技术规范书</w:t>
      </w:r>
      <w:r>
        <w:rPr>
          <w:rFonts w:hint="eastAsia" w:ascii="微软雅黑" w:hAnsi="微软雅黑" w:cs="微软雅黑"/>
          <w:color w:val="000000"/>
          <w:szCs w:val="21"/>
        </w:rPr>
      </w:r>
      <w:r/>
    </w:p>
    <w:p>
      <w:pPr>
        <w:pStyle w:val="1044"/>
        <w:spacing w:line="440" w:lineRule="exact"/>
        <w:rPr>
          <w:rFonts w:hint="eastAsia" w:ascii="微软雅黑" w:hAnsi="微软雅黑" w:cs="微软雅黑"/>
          <w:b/>
          <w:szCs w:val="21"/>
        </w:rPr>
        <w:outlineLvl w:val="1"/>
      </w:pPr>
      <w:r>
        <w:rPr>
          <w:rFonts w:hint="eastAsia" w:ascii="微软雅黑" w:hAnsi="微软雅黑" w:cs="微软雅黑"/>
          <w:b/>
          <w:szCs w:val="21"/>
        </w:rPr>
        <w:t xml:space="preserve">1  总则</w:t>
      </w:r>
      <w:r>
        <w:rPr>
          <w:rFonts w:hint="eastAsia" w:ascii="微软雅黑" w:hAnsi="微软雅黑" w:cs="微软雅黑"/>
          <w:b/>
          <w:szCs w:val="21"/>
        </w:rPr>
      </w:r>
      <w:r/>
    </w:p>
    <w:p>
      <w:pPr>
        <w:pStyle w:val="1044"/>
        <w:ind w:left="840" w:hanging="420"/>
        <w:spacing w:line="440" w:lineRule="exact"/>
        <w:rPr>
          <w:rFonts w:hint="eastAsia" w:ascii="微软雅黑" w:hAnsi="微软雅黑" w:cs="微软雅黑"/>
          <w:szCs w:val="21"/>
        </w:rPr>
      </w:pPr>
      <w:r>
        <w:rPr>
          <w:rFonts w:hint="eastAsia" w:ascii="微软雅黑" w:hAnsi="微软雅黑" w:cs="微软雅黑"/>
          <w:szCs w:val="21"/>
        </w:rPr>
        <w:t xml:space="preserve">1.1 本部分规定了低压开关柜招标的总则、技术参数和性能要求、试验、包装、运输、交货的一般要求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1.2 本部分适用于低压开关柜招标。</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1.3 供应商生产前必须进行设计技术交底；</w:t>
      </w:r>
      <w:r>
        <w:rPr>
          <w:rFonts w:hint="eastAsia" w:ascii="微软雅黑" w:hAnsi="微软雅黑" w:cs="微软雅黑"/>
          <w:szCs w:val="21"/>
        </w:rPr>
      </w:r>
      <w:r/>
    </w:p>
    <w:p>
      <w:pPr>
        <w:pStyle w:val="1044"/>
        <w:ind w:firstLine="420"/>
        <w:spacing w:line="440" w:lineRule="exact"/>
        <w:rPr>
          <w:rFonts w:hint="eastAsia" w:ascii="微软雅黑" w:hAnsi="微软雅黑" w:cs="微软雅黑"/>
          <w:b/>
          <w:szCs w:val="21"/>
        </w:rPr>
        <w:outlineLvl w:val="1"/>
      </w:pPr>
      <w:r>
        <w:rPr>
          <w:rFonts w:hint="eastAsia" w:ascii="微软雅黑" w:hAnsi="微软雅黑" w:cs="微软雅黑"/>
          <w:b/>
          <w:szCs w:val="21"/>
        </w:rPr>
      </w:r>
      <w:r/>
    </w:p>
    <w:p>
      <w:pPr>
        <w:pStyle w:val="1044"/>
        <w:jc w:val="left"/>
        <w:spacing w:before="60" w:line="440" w:lineRule="exact"/>
        <w:rPr>
          <w:rFonts w:hint="eastAsia" w:ascii="微软雅黑" w:hAnsi="微软雅黑" w:cs="微软雅黑"/>
          <w:szCs w:val="21"/>
        </w:rPr>
        <w:outlineLvl w:val="0"/>
      </w:pPr>
      <w:r>
        <w:rPr>
          <w:rFonts w:hint="eastAsia" w:ascii="微软雅黑" w:hAnsi="微软雅黑" w:cs="微软雅黑"/>
          <w:szCs w:val="21"/>
        </w:rPr>
        <w:t xml:space="preserve">2　规范性引用文件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下列文件对于本文件的应用是必不可少的。凡是注日期的引用文件，仅注日期的版本适用于本文件。凡是不注日期的引用文件，其最新版本（包括所有的修改单）适用于本文件。</w:t>
      </w:r>
      <w:r>
        <w:rPr>
          <w:rFonts w:hint="eastAsia" w:ascii="微软雅黑" w:hAnsi="微软雅黑" w:cs="微软雅黑"/>
          <w:szCs w:val="21"/>
        </w:rPr>
      </w:r>
      <w:r/>
    </w:p>
    <w:p>
      <w:pPr>
        <w:pStyle w:val="1044"/>
        <w:ind w:firstLine="480"/>
        <w:jc w:val="left"/>
        <w:keepLines/>
        <w:keepNext/>
        <w:spacing w:before="260" w:after="260" w:line="440" w:lineRule="exact"/>
        <w:rPr>
          <w:rFonts w:hint="eastAsia" w:ascii="微软雅黑" w:hAnsi="微软雅黑" w:cs="微软雅黑"/>
          <w:szCs w:val="21"/>
        </w:rPr>
        <w:outlineLvl w:val="2"/>
      </w:pPr>
      <w:r>
        <w:rPr>
          <w:rFonts w:hint="eastAsia" w:ascii="微软雅黑" w:hAnsi="微软雅黑" w:cs="微软雅黑"/>
          <w:szCs w:val="21"/>
        </w:rPr>
        <w:t xml:space="preserve">GB/T 7251.1-2013</w:t>
      </w:r>
      <w:r>
        <w:rPr>
          <w:rFonts w:hint="eastAsia" w:ascii="微软雅黑" w:hAnsi="微软雅黑" w:cs="微软雅黑"/>
          <w:szCs w:val="21"/>
          <w:lang w:val="en-US" w:eastAsia="zh-CN"/>
        </w:rPr>
        <w:t xml:space="preserve"> </w:t>
      </w:r>
      <w:r>
        <w:rPr>
          <w:rFonts w:hint="eastAsia" w:ascii="微软雅黑" w:hAnsi="微软雅黑" w:cs="微软雅黑"/>
          <w:szCs w:val="21"/>
        </w:rPr>
        <w:t xml:space="preserve">《低压成套开关设备和控制设备 第1部分: 总则》</w:t>
      </w:r>
      <w:r>
        <w:rPr>
          <w:rFonts w:hint="eastAsia" w:ascii="微软雅黑" w:hAnsi="微软雅黑" w:cs="微软雅黑"/>
          <w:szCs w:val="21"/>
        </w:rPr>
      </w:r>
      <w:r/>
    </w:p>
    <w:p>
      <w:pPr>
        <w:pStyle w:val="1044"/>
        <w:ind w:firstLine="480"/>
        <w:jc w:val="left"/>
        <w:keepLines/>
        <w:keepNext/>
        <w:spacing w:before="260" w:after="260" w:line="440" w:lineRule="exact"/>
        <w:rPr>
          <w:rFonts w:hint="eastAsia" w:ascii="微软雅黑" w:hAnsi="微软雅黑" w:cs="微软雅黑"/>
          <w:szCs w:val="21"/>
        </w:rPr>
        <w:outlineLvl w:val="2"/>
      </w:pPr>
      <w:r>
        <w:rPr>
          <w:rFonts w:hint="eastAsia" w:ascii="微软雅黑" w:hAnsi="微软雅黑" w:cs="微软雅黑"/>
          <w:szCs w:val="21"/>
        </w:rPr>
        <w:t xml:space="preserve">GB/T 7251.12-2013</w:t>
      </w:r>
      <w:r>
        <w:rPr>
          <w:rFonts w:hint="eastAsia" w:ascii="微软雅黑" w:hAnsi="微软雅黑" w:cs="微软雅黑"/>
          <w:szCs w:val="21"/>
          <w:lang w:val="en-US" w:eastAsia="zh-CN"/>
        </w:rPr>
        <w:t xml:space="preserve"> </w:t>
      </w:r>
      <w:r>
        <w:rPr>
          <w:rFonts w:hint="eastAsia" w:ascii="微软雅黑" w:hAnsi="微软雅黑" w:cs="微软雅黑"/>
          <w:szCs w:val="21"/>
        </w:rPr>
        <w:t xml:space="preserve">《低压成套开关设备和控制设备 第2部分: 成套电力开关和电力设备》</w:t>
      </w:r>
      <w:r>
        <w:rPr>
          <w:rFonts w:hint="eastAsia" w:ascii="微软雅黑" w:hAnsi="微软雅黑" w:cs="微软雅黑"/>
          <w:szCs w:val="21"/>
        </w:rPr>
      </w:r>
      <w:r/>
    </w:p>
    <w:p>
      <w:pPr>
        <w:pStyle w:val="1044"/>
        <w:ind w:firstLine="480"/>
        <w:jc w:val="left"/>
        <w:keepLines/>
        <w:keepNext/>
        <w:spacing w:before="260" w:after="260" w:line="440" w:lineRule="exact"/>
        <w:rPr>
          <w:rFonts w:hint="eastAsia" w:ascii="微软雅黑" w:hAnsi="微软雅黑" w:cs="微软雅黑"/>
          <w:szCs w:val="21"/>
        </w:rPr>
        <w:outlineLvl w:val="2"/>
      </w:pPr>
      <w:r>
        <w:rPr>
          <w:rFonts w:hint="eastAsia" w:ascii="微软雅黑" w:hAnsi="微软雅黑" w:cs="微软雅黑"/>
          <w:szCs w:val="21"/>
        </w:rPr>
        <w:t xml:space="preserve">GB/T 7251.8-2020</w:t>
      </w:r>
      <w:r>
        <w:rPr>
          <w:rFonts w:hint="eastAsia" w:ascii="微软雅黑" w:hAnsi="微软雅黑" w:cs="微软雅黑"/>
          <w:szCs w:val="21"/>
          <w:lang w:val="en-US" w:eastAsia="zh-CN"/>
        </w:rPr>
        <w:t xml:space="preserve"> </w:t>
      </w:r>
      <w:r>
        <w:rPr>
          <w:rFonts w:hint="eastAsia" w:ascii="微软雅黑" w:hAnsi="微软雅黑" w:cs="微软雅黑"/>
          <w:szCs w:val="21"/>
        </w:rPr>
        <w:t xml:space="preserve">《低压成套开关设备和控制设备 智能型成套设备通用技术要求》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CQC3177-2021 《低压成套开关设备节能认证技术规范》</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14048.1-2012 《低压开关设备和控制设备 第1部分：总则》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14048.2-2008 《低压开关设备和控制设备 第2部分：断路器》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14048.3-2017 《低压开关设备和控制设备 第3部分: 开关、隔离器、隔离开关以及熔断器组合电器》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14048.4-2010 《低压开关设备和控制设备 第4-1部分：接触器和电动机起动器　机电式接触器和电动机起动器（含电动机保护器）》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14048.5-2017 《低压开关设备和控制设备 第5-1部分：控制电路电器和开关件 机电式控制电路电器》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15576-2008 《低压成套无功功率补偿装置》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20840.2-2014 《互感器 第2部分：电流互感器的补充技术要求》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7947-2010 《人机界面标志标识的基本和安全规则导体颜色或字母数字标识》</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20138-2006 《电器设备外壳对外界机械碰撞的防护等级（IK代码）》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4208-2017《外壳防护等级(IP代码)》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17626-2008《电磁兼容试验和测量技术》</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17626.2-2018《电磁兼容 试验和测量技术 静电放电抗扰度试验》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17626.3-2016《电磁兼容 试验和测量技术 射频电磁场辐射抗扰度试验》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17626.4-2008《电磁兼容 试验和测量技术 电快速瞬变脉冲群抗扰度试验》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17626.5-2019《电磁兼容 试验和测量技术 浪涌(冲击)抗扰度试》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17626.6-2017《电磁兼容 试验和测量技术 射频场感应的传导骚扰抗扰度》</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17626.8-2006《电磁兼容 试验和测量技术 工频磁场抗扰度试验》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17626.11-2008《电磁兼容 试验和测量技术 电压暂降、短时中断和电压变化的抗扰度试验》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17626.16-2007《电磁兼容 试验和测量技术 0Hz～150kHz 共模传导骚扰抗扰度试验》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 50054-2011《低压配电设计规范》</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10316-2013《低压成套开关设备绝缘支撑部件和绝缘材料》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JB/T 10323-2016《低压抽出式成套开关设备和控制设备主电路用接插件》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61140-2002《电击防护》</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61439-1-2011《低压开关设备和控制设备成套装置》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60721-3-3 2002《环境条件的分类 第3部分_环境参数组及其严酷程度的分类分级》</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2423.17-2008《电工电子产品环境试验 第2部分：试验方法 试验Ka：盐雾》</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TR61641 E3 2014-09 《封闭式低压成套开关设备和控制设备在内部故障引起电弧情况下的试验导则》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18859-2016 《封闭式低压成套开关设备和控制设备 在内部故障引起电弧》</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IEC 60068-3-3-1991 《环境试验 第3-3部分: 指南 设备的地震试验方法》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GB/T2424.25-2000《电工电子产品环境试验第3部分: 试验导则地震试验方法》</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GB/T 20626.1-2017《特殊环境条件 高原电工电子产品 第1部分：通用电工要求》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before="60" w:line="440" w:lineRule="exact"/>
        <w:rPr>
          <w:rFonts w:hint="eastAsia" w:ascii="微软雅黑" w:hAnsi="微软雅黑" w:cs="微软雅黑"/>
          <w:szCs w:val="21"/>
        </w:rPr>
        <w:outlineLvl w:val="0"/>
      </w:pPr>
      <w:r>
        <w:rPr>
          <w:rFonts w:hint="eastAsia" w:ascii="微软雅黑" w:hAnsi="微软雅黑" w:cs="微软雅黑"/>
          <w:szCs w:val="21"/>
        </w:rPr>
        <w:t xml:space="preserve">3　技术参数和性能要求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　开关柜技术参数低压开关柜型式为直立式、落地安装的金属封闭型低压开关柜，开关柜的骨架为垂直地面安装的自撑式结构, 柜体应采用高质素的敷铝锌板或冷轧钢板。柜体具有足够的机械和电气强度，保障所安装元件在正常使用及短路时能够承受所产生的机械应力和热应力，并能承受正常运输、安装的影响而不损坏。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3.1.1开关柜整体高度根据现场层高要求，不超过2400mm。</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3.1.2柜体分隔形式Form 3b，开关柜内的每个柜体分隔为三室，即水平母线隔室，功能单元隔室及电缆室，室与室之间用钢板或高强度阻燃环保塑料功能板相互隔开；</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内部应实现良好的分隔，开关柜外壳和内部金属板应实现可靠接地。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低压开关柜的进出线可采用电缆或封闭母线槽,并为上下出线位置可进行适当调整。</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3.1.3 每台框架断路器或插拔装置应布置在前开门的功能单元室内。功能单元室门应是刚性的，并在框架断路器、插拔装置移走或功能单元室空间留作将来使用的情况下把该功能单元室封闭起来。</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3.1.4低压开关柜体应采取为防止功能单元插拔操作过程中对母线的磨损和破坏的相关措施，同时也要保证在带电情况下的良好互换性和快速加装。</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3.1.5 功能单元有可靠的机械联锁，通过操作手柄控制，具有专用位置指示器，并配有鲜明的颜色及符号标示，为加强安全防范，操作手柄和断路器手柄定位后均可加挂锁。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3.1.6 在一次触头接通前，框架断路器的框架或插拔装置应可靠接地，并且在运行位置以及在一次触头分开一个安全距离以前的所有其它位置，框架断路器的框架或插拔装置应保持可靠接地。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3.1.7 低压开关柜应开设符合IP要求的通风孔。通风孔的设计和设置应使得当断路器在正常运行时或在短路情况下没有电弧或可熔金属喷出。</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3.1.8每个隔室应有足够空间便于检修维护。</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3.1.9 低压开关柜内的电器元件、裸露的带电导体和端子等的电气距离和爬电距离应符合有关标准，同时应适合使用的环境条件。</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3.1.10 开关柜采用离墙式布置，柜后设有维护通道。</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3.1.11开关柜应可在柜顶或柜底进出线，深度柜体为1000mm。</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3.1.12 低压开关柜的外壳防护等级应至少为IP31。</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3.1.13 开关柜的设计和安装应便于维护和扩建，水平母线采用预先装好的滑动连接铜排进行柜间水平母排连接，避免柜间母排开孔搭接。</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3.1.14安装在开关柜上的断路器延伸操作手柄，应有明确的开关跳闸显示位置，防止开关跳闸状态下，延伸操作手柄误显示为合闸状态。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3.1.15抽屉单元带有导轨，设有运行、试验和分离位置，且有定位机构。抽屉在试验位置时，一次回路有可见断点，保证人员的绝对安全。同类型抽屉具有互换性，一旦发生故障，可以在系统供电情况下更换故障开关，迅速恢复供电。</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3.1.16抽屉从工作位置拉到试验位置时，二次系统的连接不应中断，有效确保通讯的稳定性和实时性。二次插接附件应与与品牌柜同一品牌，应满足《JB/T 10263-2016低压抽出式成套开关设备和控制设备 辅助电路用插接件》并提供有效的国内权威机构的试验报告。</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3.1.17抽屉柜应具有性能良好的一次接插件系统，同时也要保证抽屉单元良好的互换性和快速加装能力。一次插接附件应与品牌柜同一品牌，应满足《JB/T 10323-2016低压抽出式成套开关设备和控制设备 主电路用插接件》并提供有效的国内权威机构的试验报告。将主电路插接固定后，从试验位置至接通位置，再返回试验位置为一个循环，以5次/min的频率连续进行1000次（不带电情况下）。试验后，插接件动、静触头及导电部件无损伤和变形现象。</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3.1.18 低压开关抽屉柜体应具有为防止功能单元插拔操作过程中对母线的磨损和破坏的相关措施，避免对母线系统的直接操作，同时也要保证良好的互换性和快速加装能力。</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3.2　电流互感器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进线及分段柜内电流互感器采用环氧树脂浇铸，出线柜内电流互感器采用塑壳式（塑壳式材质应具有阻燃性能），所有端子及紧固件应有足够的机械强度和良好的导电接触，有可靠的防腐镀层。</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3.3 电路</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3.3.1 主电路</w:t>
      </w:r>
      <w:r>
        <w:rPr>
          <w:rFonts w:hint="eastAsia" w:ascii="微软雅黑" w:hAnsi="微软雅黑" w:cs="微软雅黑"/>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1）各断路器主电路的导体和串联元件，应充分考虑各元件的参数配合。各元件的额定电流、额定短时耐受电流、额定峰值耐受电流应满足本技术条件的要求。</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2）短路保护元件在额定的参数范围内，应能可靠地分断短路电流。</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3）装置内短路保护元件的动作值应具有选择性。</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szCs w:val="21"/>
        </w:rPr>
      </w:pPr>
      <w:r>
        <w:rPr>
          <w:rFonts w:hint="eastAsia" w:ascii="微软雅黑" w:hAnsi="微软雅黑" w:cs="微软雅黑"/>
          <w:szCs w:val="21"/>
        </w:rPr>
        <w:t xml:space="preserve">3.3.2 辅助电路</w:t>
      </w:r>
      <w:r>
        <w:rPr>
          <w:rFonts w:hint="eastAsia" w:ascii="微软雅黑" w:hAnsi="微软雅黑" w:cs="微软雅黑"/>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1）用于控制、测量、信号、调节、数据处理等辅助电路的设计应采用电源接地系统，并保证接地故障或带电部件和裸露导电部件之间的故障不会引起误动作。</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2）辅助电路应装设保护元件，如果与主电路连接，则保护元件的短路分断能力应与主电路保护元件相同；</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3）辅助设备（仪表、继电器等）应能承受开关分、合闸产生的振动，而不会发生误动作；</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4）辅助电路、辅助设备的接线应有适当的保护，以防来自主电路意外燃弧的损坏。</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3.3.3 电气间隙、爬电距离和间隔距离</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3.3.4 主母线、配电母线、分支母线和主电路插接件带电部分之间以及带电部分与接地金属构件之间的电气间隙应满足相关标准要求。</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3.3.5 断路器处于分离位置时，断路器本体的插接件与配电母线（或静触头）的间隔距离应不小于25mm。即使机械寿命到期后亦应保持此距离。</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szCs w:val="21"/>
        </w:rPr>
      </w:pPr>
      <w:r>
        <w:rPr>
          <w:rFonts w:hint="eastAsia" w:ascii="微软雅黑" w:hAnsi="微软雅黑" w:cs="微软雅黑"/>
          <w:szCs w:val="21"/>
        </w:rPr>
        <w:t xml:space="preserve">3.4铭牌</w:t>
      </w:r>
      <w:r>
        <w:rPr>
          <w:rFonts w:hint="eastAsia" w:ascii="微软雅黑" w:hAnsi="微软雅黑" w:cs="微软雅黑"/>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1)每台开关柜应配备铭牌，铭牌应字迹清晰，安装应坚固、耐久，其位置应该是在装置安装好后，易于看见的地方。</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a) 制造商（生产厂）或商标；</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b) 产品名称或型号；</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c) 制造日期及出厂编号；</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d) 额定电流；</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e) 额定电压；</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f) 额定绝缘电压；</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g) 额定频率；</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    h) 防护等级</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2)开关柜内的电器组件铭牌，如断路器、互感器等均应有耐久清晰的铭牌；在正常运行中，各组件的铭牌应便于识别。</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3)设备铭牌为2mm有机玻璃材料，规格为200*50 mm。</w:t>
      </w:r>
      <w:r>
        <w:rPr>
          <w:rFonts w:hint="eastAsia" w:ascii="微软雅黑" w:hAnsi="微软雅黑" w:cs="微软雅黑"/>
          <w:bCs/>
          <w:szCs w:val="21"/>
        </w:rPr>
      </w:r>
      <w:r/>
    </w:p>
    <w:p>
      <w:pPr>
        <w:pStyle w:val="1044"/>
        <w:ind w:firstLine="420"/>
        <w:keepLines w:val="0"/>
        <w:keepNext w:val="0"/>
        <w:pageBreakBefore w:val="0"/>
        <w:spacing w:line="440" w:lineRule="exact"/>
        <w:widowControl w:val="off"/>
        <w:rPr>
          <w:rFonts w:hint="eastAsia" w:ascii="微软雅黑" w:hAnsi="微软雅黑" w:cs="微软雅黑"/>
          <w:bCs/>
          <w:szCs w:val="21"/>
        </w:rPr>
      </w:pPr>
      <w:r>
        <w:rPr>
          <w:rFonts w:hint="eastAsia" w:ascii="微软雅黑" w:hAnsi="微软雅黑" w:cs="微软雅黑"/>
          <w:bCs/>
          <w:szCs w:val="21"/>
        </w:rPr>
        <w:t xml:space="preserve">4)设备二次铭牌为聚脂纤维材料，规格为60*15 mm（仪表面板）。</w:t>
      </w:r>
      <w:r>
        <w:rPr>
          <w:rFonts w:hint="eastAsia" w:ascii="微软雅黑" w:hAnsi="微软雅黑" w:cs="微软雅黑"/>
          <w:bCs/>
          <w:szCs w:val="21"/>
        </w:rPr>
      </w:r>
      <w:r/>
    </w:p>
    <w:p>
      <w:pPr>
        <w:pStyle w:val="1044"/>
        <w:spacing w:line="440" w:lineRule="exact"/>
        <w:rPr>
          <w:rFonts w:hint="eastAsia" w:ascii="微软雅黑" w:hAnsi="微软雅黑" w:cs="微软雅黑"/>
          <w:bCs/>
          <w:szCs w:val="21"/>
        </w:rPr>
      </w:pPr>
      <w:r>
        <w:rPr>
          <w:rFonts w:hint="eastAsia" w:ascii="微软雅黑" w:hAnsi="微软雅黑" w:cs="微软雅黑"/>
          <w:bCs/>
          <w:szCs w:val="21"/>
        </w:rPr>
      </w:r>
      <w:r/>
    </w:p>
    <w:p>
      <w:pPr>
        <w:pStyle w:val="1044"/>
        <w:jc w:val="left"/>
        <w:spacing w:before="60" w:line="440" w:lineRule="exact"/>
        <w:rPr>
          <w:rFonts w:hint="eastAsia" w:ascii="微软雅黑" w:hAnsi="微软雅黑" w:cs="微软雅黑"/>
          <w:szCs w:val="21"/>
        </w:rPr>
        <w:outlineLvl w:val="0"/>
      </w:pPr>
      <w:r>
        <w:rPr>
          <w:rFonts w:hint="eastAsia" w:ascii="微软雅黑" w:hAnsi="微软雅黑" w:cs="微软雅黑"/>
          <w:szCs w:val="21"/>
        </w:rPr>
        <w:t xml:space="preserve">4　标准技术参数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技术参数特性表是对采购设备的基础技术参数要求，投标人应对技术参数特性表中标准参数值进行响应。低压开关柜技术参数特性见表4。</w:t>
      </w:r>
      <w:r>
        <w:rPr>
          <w:rFonts w:hint="eastAsia" w:ascii="微软雅黑" w:hAnsi="微软雅黑" w:cs="微软雅黑"/>
          <w:szCs w:val="21"/>
        </w:rPr>
      </w:r>
      <w:r/>
    </w:p>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表4　技术参数特性表</w:t>
      </w:r>
      <w:r>
        <w:rPr>
          <w:rFonts w:hint="eastAsia" w:ascii="微软雅黑" w:hAnsi="微软雅黑" w:cs="微软雅黑"/>
          <w:szCs w:val="21"/>
        </w:rPr>
      </w:r>
      <w:r/>
    </w:p>
    <w:tbl>
      <w:tblPr>
        <w:tblW w:w="761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302"/>
        <w:gridCol w:w="2480"/>
        <w:gridCol w:w="2863"/>
      </w:tblGrid>
      <w:tr>
        <w:trPr>
          <w:tblHeader/>
        </w:trPr>
        <w:tc>
          <w:tcPr>
            <w:gridSpan w:val="2"/>
            <w:tcW w:w="226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名　　称</w:t>
            </w:r>
            <w:r>
              <w:rPr>
                <w:rFonts w:hint="eastAsia" w:ascii="微软雅黑" w:hAnsi="微软雅黑" w:cs="微软雅黑"/>
                <w:szCs w:val="21"/>
              </w:rPr>
            </w:r>
            <w:r/>
          </w:p>
        </w:tc>
        <w:tc>
          <w:tcPr>
            <w:tcW w:w="2480"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项　　目</w:t>
            </w:r>
            <w:r>
              <w:rPr>
                <w:rFonts w:hint="eastAsia" w:ascii="微软雅黑" w:hAnsi="微软雅黑" w:cs="微软雅黑"/>
                <w:szCs w:val="21"/>
              </w:rPr>
            </w:r>
            <w:r/>
          </w:p>
        </w:tc>
        <w:tc>
          <w:tcPr>
            <w:tcW w:w="286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标准参数值</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共用参数</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主要电气参数</w:t>
            </w: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额定工作电压</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400V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额定绝缘电压</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660V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额定耐受电压</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2500V（1min工频）</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水平母线</w:t>
            </w:r>
            <w:r>
              <w:rPr>
                <w:rFonts w:hint="eastAsia" w:ascii="微软雅黑" w:hAnsi="微软雅黑" w:cs="微软雅黑"/>
                <w:szCs w:val="21"/>
              </w:rPr>
            </w:r>
            <w:r/>
          </w:p>
        </w:tc>
        <w:tc>
          <w:tcPr>
            <w:tcW w:w="2480"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2863"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1250A</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2480"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母线（3L+N+PE）规格</w:t>
            </w:r>
            <w:r>
              <w:rPr>
                <w:rFonts w:hint="eastAsia" w:ascii="微软雅黑" w:hAnsi="微软雅黑" w:cs="微软雅黑"/>
                <w:szCs w:val="21"/>
              </w:rPr>
            </w:r>
            <w:r/>
          </w:p>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宽×厚</w:t>
            </w:r>
            <w:r>
              <w:rPr>
                <w:rFonts w:hint="eastAsia" w:ascii="微软雅黑" w:hAnsi="微软雅黑" w:cs="微软雅黑"/>
                <w:szCs w:val="21"/>
              </w:rPr>
            </w:r>
            <w:r/>
          </w:p>
        </w:tc>
        <w:tc>
          <w:tcPr>
            <w:tcW w:w="2863"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2480"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额定短时耐受电流</w:t>
            </w:r>
            <w:r>
              <w:rPr>
                <w:rFonts w:hint="eastAsia" w:ascii="微软雅黑" w:hAnsi="微软雅黑" w:cs="微软雅黑"/>
                <w:szCs w:val="21"/>
              </w:rPr>
            </w:r>
            <w:r/>
          </w:p>
        </w:tc>
        <w:tc>
          <w:tcPr>
            <w:tcW w:w="2863"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65kA/1s</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top"/>
            <w:vMerge w:val="continue"/>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r>
            <w:r/>
          </w:p>
        </w:tc>
        <w:tc>
          <w:tcPr>
            <w:tcW w:w="2480" w:type="dxa"/>
            <w:vAlign w:val="top"/>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额定峰值耐受电流</w:t>
            </w:r>
            <w:r>
              <w:rPr>
                <w:rFonts w:hint="eastAsia" w:ascii="微软雅黑" w:hAnsi="微软雅黑" w:cs="微软雅黑"/>
                <w:szCs w:val="21"/>
              </w:rPr>
            </w:r>
            <w:r/>
          </w:p>
        </w:tc>
        <w:tc>
          <w:tcPr>
            <w:tcW w:w="2863"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gridSpan w:val="2"/>
            <w:tcW w:w="3782"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防护等级</w:t>
            </w:r>
            <w:r>
              <w:rPr>
                <w:rFonts w:hint="eastAsia" w:ascii="微软雅黑" w:hAnsi="微软雅黑" w:cs="微软雅黑"/>
                <w:szCs w:val="21"/>
              </w:rPr>
            </w:r>
            <w:r/>
          </w:p>
        </w:tc>
        <w:tc>
          <w:tcPr>
            <w:tcW w:w="2863" w:type="dxa"/>
            <w:vAlign w:val="center"/>
            <w:textDirection w:val="lrTb"/>
            <w:noWrap w:val="false"/>
          </w:tcPr>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IP31</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电容柜</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断路器</w:t>
            </w: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型式</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极数</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3P</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额定工作电压</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660V</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额定电流</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630A</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额定极限分断能力</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65kA（框架断路器）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额定运行分断能力</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65kA（框架断路器）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额定绝缘电压</w:t>
            </w:r>
            <w:r>
              <w:rPr>
                <w:rFonts w:hint="eastAsia" w:ascii="微软雅黑" w:hAnsi="微软雅黑" w:cs="微软雅黑"/>
                <w:szCs w:val="21"/>
              </w:rPr>
              <w:tab/>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1000V（框架断路器）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额定冲击耐受电压</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12kV（框架断路器）</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机械寿命（免维护）　</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≥10000次</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电流互感器</w:t>
            </w: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精度</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0.5级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变比</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详见招标图</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多功能数显表</w:t>
            </w: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有功</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无功</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2.0级</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通信接口</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RS-485标准接口</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通信规约</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DL/T 645-1997</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柜体</w:t>
            </w:r>
            <w:r>
              <w:rPr>
                <w:rFonts w:hint="eastAsia" w:ascii="微软雅黑" w:hAnsi="微软雅黑" w:cs="微软雅黑"/>
                <w:szCs w:val="21"/>
              </w:rPr>
            </w:r>
            <w:r/>
          </w:p>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尺寸</w:t>
            </w: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宽度（mm） </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800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深度（mm）</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高度（mm）</w:t>
            </w: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2200</w:t>
            </w:r>
            <w:r>
              <w:rPr>
                <w:rFonts w:hint="eastAsia" w:ascii="微软雅黑" w:hAnsi="微软雅黑" w:cs="微软雅黑"/>
                <w:szCs w:val="21"/>
              </w:rPr>
            </w:r>
            <w:r/>
          </w:p>
        </w:tc>
      </w:tr>
      <w:tr>
        <w:trPr/>
        <w:tc>
          <w:tcPr>
            <w:tcW w:w="966" w:type="dxa"/>
            <w:vAlign w:val="center"/>
            <w:vMerge w:val="restart"/>
            <w:textDirection w:val="lrTb"/>
            <w:noWrap w:val="false"/>
          </w:tcPr>
          <w:p>
            <w:pPr>
              <w:pStyle w:val="1044"/>
              <w:jc w:val="center"/>
              <w:spacing w:line="440" w:lineRule="exact"/>
              <w:widowControl/>
              <w:rPr>
                <w:rFonts w:hint="eastAsia" w:ascii="微软雅黑" w:hAnsi="微软雅黑" w:cs="微软雅黑"/>
                <w:szCs w:val="21"/>
              </w:rPr>
            </w:pPr>
            <w:r>
              <w:rPr>
                <w:rFonts w:hint="eastAsia" w:ascii="微软雅黑" w:hAnsi="微软雅黑" w:cs="微软雅黑"/>
                <w:szCs w:val="21"/>
              </w:rPr>
              <w:t xml:space="preserve">电容器</w:t>
            </w: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补偿装置</w:t>
            </w:r>
            <w:r>
              <w:rPr>
                <w:rFonts w:hint="eastAsia" w:ascii="微软雅黑" w:hAnsi="微软雅黑" w:cs="微软雅黑"/>
                <w:szCs w:val="21"/>
              </w:rPr>
            </w:r>
            <w:r/>
          </w:p>
        </w:tc>
        <w:tc>
          <w:tcPr>
            <w:tcW w:w="2480" w:type="dxa"/>
            <w:vAlign w:val="center"/>
            <w:textDirection w:val="lrTb"/>
            <w:noWrap w:val="false"/>
          </w:tcPr>
          <w:p>
            <w:pPr>
              <w:pStyle w:val="1044"/>
              <w:jc w:val="left"/>
              <w:spacing w:before="50" w:after="51"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型式</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智能型、自愈式、干式(投切元件与电容器一体式结构)</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50" w:after="51"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额定电压</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450V(三相)/250V(单相)</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50" w:after="51"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外壳材质</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不锈钢</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50" w:after="51"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寿命</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容量配置</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补偿容量240kVar</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50" w:after="51"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投切元件型式</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投切元件响应时间</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≤20ms</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投切元件寿命</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抑止合闸涌流能力</w:t>
            </w:r>
            <w:r>
              <w:rPr>
                <w:rFonts w:hint="eastAsia" w:ascii="微软雅黑" w:hAnsi="微软雅黑" w:cs="微软雅黑"/>
                <w:color w:val="000000"/>
                <w:szCs w:val="21"/>
              </w:rPr>
            </w:r>
            <w:r/>
          </w:p>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（额定电流的倍数）</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（投标人提供）</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restart"/>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多功能数显表</w:t>
            </w:r>
            <w:r>
              <w:rPr>
                <w:rFonts w:hint="eastAsia" w:ascii="微软雅黑" w:hAnsi="微软雅黑" w:cs="微软雅黑"/>
                <w:szCs w:val="21"/>
              </w:rPr>
            </w:r>
            <w:r/>
          </w:p>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电流互感器</w:t>
            </w:r>
            <w:r>
              <w:rPr>
                <w:rFonts w:hint="eastAsia" w:ascii="微软雅黑" w:hAnsi="微软雅黑" w:cs="微软雅黑"/>
                <w:szCs w:val="21"/>
              </w:rPr>
            </w:r>
            <w:r/>
          </w:p>
          <w:p>
            <w:pPr>
              <w:pStyle w:val="1044"/>
              <w:jc w:val="center"/>
              <w:spacing w:before="64" w:after="63" w:line="440" w:lineRule="exact"/>
              <w:rPr>
                <w:rFonts w:hint="eastAsia" w:ascii="微软雅黑" w:hAnsi="微软雅黑" w:cs="微软雅黑"/>
                <w:szCs w:val="21"/>
              </w:rPr>
            </w:pPr>
            <w:r>
              <w:rPr>
                <w:rFonts w:hint="eastAsia" w:ascii="微软雅黑" w:hAnsi="微软雅黑" w:cs="微软雅黑"/>
                <w:szCs w:val="21"/>
              </w:rPr>
              <w:t xml:space="preserve">电流表</w:t>
            </w:r>
            <w:r>
              <w:rPr>
                <w:rFonts w:hint="eastAsia" w:ascii="微软雅黑" w:hAnsi="微软雅黑" w:cs="微软雅黑"/>
                <w:szCs w:val="21"/>
              </w:rPr>
            </w:r>
            <w:r/>
          </w:p>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柜体尺寸</w:t>
            </w: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参数</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满足DL/T 597之要求</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通信接口</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USB及RS-485标准接口</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电压显示</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有</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电流显示</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有</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left"/>
              <w:spacing w:before="65" w:after="65"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参数</w:t>
            </w:r>
            <w:r>
              <w:rPr>
                <w:rFonts w:hint="eastAsia" w:ascii="微软雅黑" w:hAnsi="微软雅黑" w:cs="微软雅黑"/>
                <w:color w:val="000000"/>
                <w:szCs w:val="21"/>
              </w:rPr>
            </w:r>
            <w:r/>
          </w:p>
        </w:tc>
        <w:tc>
          <w:tcPr>
            <w:tcW w:w="2863" w:type="dxa"/>
            <w:vAlign w:val="center"/>
            <w:textDirection w:val="lrTb"/>
            <w:noWrap w:val="false"/>
          </w:tcPr>
          <w:p>
            <w:pPr>
              <w:pStyle w:val="1044"/>
              <w:jc w:val="center"/>
              <w:spacing w:before="65" w:after="65" w:line="440" w:lineRule="exact"/>
              <w:rPr>
                <w:rFonts w:hint="eastAsia" w:ascii="微软雅黑" w:hAnsi="微软雅黑" w:cs="微软雅黑"/>
                <w:szCs w:val="21"/>
              </w:rPr>
            </w:pPr>
            <w:r>
              <w:rPr>
                <w:rFonts w:hint="eastAsia" w:ascii="微软雅黑" w:hAnsi="微软雅黑" w:cs="微软雅黑"/>
                <w:szCs w:val="21"/>
              </w:rPr>
              <w:t xml:space="preserve">满足DL/T 597之要求</w:t>
            </w:r>
            <w:r>
              <w:rPr>
                <w:rFonts w:hint="eastAsia" w:ascii="微软雅黑" w:hAnsi="微软雅黑" w:cs="微软雅黑"/>
                <w:szCs w:val="21"/>
              </w:rPr>
            </w:r>
            <w:r/>
          </w:p>
        </w:tc>
      </w:tr>
      <w:tr>
        <w:trPr/>
        <w:tc>
          <w:tcPr>
            <w:tcW w:w="966"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302"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0"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r>
            <w:r/>
          </w:p>
        </w:tc>
        <w:tc>
          <w:tcPr>
            <w:tcW w:w="2863" w:type="dxa"/>
            <w:vAlign w:val="center"/>
            <w:textDirection w:val="lrTb"/>
            <w:noWrap w:val="false"/>
          </w:tcPr>
          <w:p>
            <w:pPr>
              <w:pStyle w:val="1044"/>
              <w:jc w:val="center"/>
              <w:spacing w:before="50" w:after="51" w:line="440" w:lineRule="exact"/>
              <w:rPr>
                <w:rFonts w:hint="eastAsia" w:ascii="微软雅黑" w:hAnsi="微软雅黑" w:cs="微软雅黑"/>
                <w:szCs w:val="21"/>
              </w:rPr>
            </w:pPr>
            <w:r>
              <w:rPr>
                <w:rFonts w:hint="eastAsia" w:ascii="微软雅黑" w:hAnsi="微软雅黑" w:cs="微软雅黑"/>
                <w:szCs w:val="21"/>
              </w:rPr>
              <w:t xml:space="preserve">三相数显式</w:t>
            </w:r>
            <w:r>
              <w:rPr>
                <w:rFonts w:hint="eastAsia" w:ascii="微软雅黑" w:hAnsi="微软雅黑" w:cs="微软雅黑"/>
                <w:szCs w:val="21"/>
              </w:rPr>
            </w:r>
            <w:r/>
          </w:p>
        </w:tc>
      </w:tr>
    </w:tbl>
    <w:p>
      <w:pPr>
        <w:pStyle w:val="1044"/>
        <w:ind w:left="840" w:hanging="840"/>
        <w:jc w:val="left"/>
        <w:spacing w:line="440" w:lineRule="exact"/>
        <w:rPr>
          <w:rFonts w:hint="eastAsia" w:ascii="微软雅黑" w:hAnsi="微软雅黑" w:cs="微软雅黑"/>
          <w:szCs w:val="21"/>
        </w:rPr>
      </w:pPr>
      <w:r>
        <w:rPr>
          <w:rFonts w:hint="eastAsia" w:ascii="微软雅黑" w:hAnsi="微软雅黑" w:cs="微软雅黑"/>
          <w:szCs w:val="21"/>
        </w:rPr>
      </w:r>
      <w:r/>
    </w:p>
    <w:p>
      <w:pPr>
        <w:pStyle w:val="1044"/>
        <w:jc w:val="center"/>
        <w:spacing w:before="60" w:line="440" w:lineRule="exact"/>
        <w:rPr>
          <w:rFonts w:hint="eastAsia" w:ascii="微软雅黑" w:hAnsi="微软雅黑" w:cs="微软雅黑"/>
          <w:szCs w:val="21"/>
        </w:rPr>
        <w:outlineLvl w:val="0"/>
      </w:pPr>
      <w:r>
        <w:rPr>
          <w:rFonts w:hint="eastAsia" w:ascii="微软雅黑" w:hAnsi="微软雅黑" w:cs="微软雅黑"/>
          <w:szCs w:val="21"/>
        </w:rPr>
        <w:t xml:space="preserve">4.1　使用环境条件表</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使用环境条件见表5。特殊环境要求根据项目情况进行编制。</w:t>
      </w:r>
      <w:r>
        <w:rPr>
          <w:rFonts w:hint="eastAsia" w:ascii="微软雅黑" w:hAnsi="微软雅黑" w:cs="微软雅黑"/>
          <w:szCs w:val="21"/>
        </w:rPr>
      </w:r>
      <w:r/>
    </w:p>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表5　使用环境条件表</w:t>
      </w:r>
      <w:r>
        <w:rPr>
          <w:rFonts w:hint="eastAsia" w:ascii="微软雅黑" w:hAnsi="微软雅黑" w:cs="微软雅黑"/>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973"/>
        <w:gridCol w:w="1973"/>
        <w:gridCol w:w="1197"/>
        <w:gridCol w:w="2488"/>
      </w:tblGrid>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序号</w:t>
            </w:r>
            <w:r>
              <w:rPr>
                <w:rFonts w:hint="eastAsia" w:ascii="微软雅黑" w:hAnsi="微软雅黑" w:cs="微软雅黑"/>
                <w:bCs/>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名　　称</w:t>
            </w:r>
            <w:r>
              <w:rPr>
                <w:rFonts w:hint="eastAsia" w:ascii="微软雅黑" w:hAnsi="微软雅黑" w:cs="微软雅黑"/>
                <w:bCs/>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单位</w:t>
            </w:r>
            <w:r>
              <w:rPr>
                <w:rFonts w:hint="eastAsia" w:ascii="微软雅黑" w:hAnsi="微软雅黑" w:cs="微软雅黑"/>
                <w:bCs/>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bCs/>
                <w:szCs w:val="21"/>
              </w:rPr>
            </w:pPr>
            <w:r>
              <w:rPr>
                <w:rFonts w:hint="eastAsia" w:ascii="微软雅黑" w:hAnsi="微软雅黑" w:cs="微软雅黑"/>
                <w:bCs/>
                <w:szCs w:val="21"/>
              </w:rPr>
              <w:t xml:space="preserve">项目需求值</w:t>
            </w:r>
            <w:r>
              <w:rPr>
                <w:rFonts w:hint="eastAsia" w:ascii="微软雅黑" w:hAnsi="微软雅黑" w:cs="微软雅黑"/>
                <w:bCs/>
                <w:szCs w:val="21"/>
              </w:rPr>
            </w:r>
            <w:r/>
          </w:p>
        </w:tc>
      </w:tr>
      <w:tr>
        <w:trPr>
          <w:cantSplit/>
        </w:trPr>
        <w:tc>
          <w:tcPr>
            <w:tcW w:w="891"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973"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周围空气温度</w:t>
            </w: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最高气温</w:t>
            </w:r>
            <w:r>
              <w:rPr>
                <w:rFonts w:hint="eastAsia" w:ascii="微软雅黑" w:hAnsi="微软雅黑" w:cs="微软雅黑"/>
                <w:szCs w:val="21"/>
              </w:rPr>
            </w:r>
            <w:r/>
          </w:p>
        </w:tc>
        <w:tc>
          <w:tcPr>
            <w:tcW w:w="1197"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+45</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最低气温</w:t>
            </w:r>
            <w:r>
              <w:rPr>
                <w:rFonts w:hint="eastAsia" w:ascii="微软雅黑" w:hAnsi="微软雅黑" w:cs="微软雅黑"/>
                <w:szCs w:val="21"/>
              </w:rPr>
            </w:r>
            <w:r/>
          </w:p>
        </w:tc>
        <w:tc>
          <w:tcPr>
            <w:tcW w:w="1197"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25</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最大日温差</w:t>
            </w:r>
            <w:r>
              <w:rPr>
                <w:rFonts w:hint="eastAsia" w:ascii="微软雅黑" w:hAnsi="微软雅黑" w:cs="微软雅黑"/>
                <w:szCs w:val="21"/>
              </w:rPr>
            </w:r>
            <w:r/>
          </w:p>
        </w:tc>
        <w:tc>
          <w:tcPr>
            <w:tcW w:w="1197" w:type="dxa"/>
            <w:vAlign w:val="center"/>
            <w:textDirection w:val="lrTb"/>
            <w:noWrap w:val="false"/>
          </w:tcPr>
          <w:p>
            <w:pPr>
              <w:pStyle w:val="1044"/>
              <w:numPr>
                <w:ilvl w:val="3"/>
                <w:numId w:val="13"/>
              </w:numPr>
              <w:jc w:val="center"/>
              <w:spacing w:before="60" w:after="60" w:line="440" w:lineRule="exact"/>
              <w:rPr>
                <w:rFonts w:hint="eastAsia" w:ascii="微软雅黑" w:hAnsi="微软雅黑" w:cs="微软雅黑"/>
                <w:szCs w:val="21"/>
              </w:rPr>
              <w:outlineLvl w:val="3"/>
            </w:pPr>
            <w:r>
              <w:rPr>
                <w:rFonts w:hint="eastAsia" w:ascii="微软雅黑" w:hAnsi="微软雅黑" w:cs="微软雅黑"/>
                <w:b/>
                <w:szCs w:val="21"/>
              </w:rPr>
              <w:t xml:space="preserve">K</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30</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海拔</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太阳辐射强度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W/cm</w:t>
            </w:r>
            <w:r>
              <w:rPr>
                <w:rFonts w:hint="eastAsia" w:ascii="微软雅黑" w:hAnsi="微软雅黑" w:cs="微软雅黑"/>
                <w:szCs w:val="21"/>
                <w:vertAlign w:val="superscript"/>
              </w:rPr>
              <w:t xml:space="preserve">2</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0.1</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污秽等级</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Ⅲ</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覆冰厚度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mm</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r>
      <w:tr>
        <w:trPr>
          <w:cantSplit/>
        </w:trPr>
        <w:tc>
          <w:tcPr>
            <w:tcW w:w="891"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973"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湿度</w:t>
            </w: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日相对湿度平均值</w:t>
            </w:r>
            <w:r>
              <w:rPr>
                <w:rFonts w:hint="eastAsia" w:ascii="微软雅黑" w:hAnsi="微软雅黑" w:cs="微软雅黑"/>
                <w:szCs w:val="21"/>
              </w:rPr>
            </w:r>
            <w:r/>
          </w:p>
        </w:tc>
        <w:tc>
          <w:tcPr>
            <w:tcW w:w="1197"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≤95</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月相对湿度平均值</w:t>
            </w:r>
            <w:r>
              <w:rPr>
                <w:rFonts w:hint="eastAsia" w:ascii="微软雅黑" w:hAnsi="微软雅黑" w:cs="微软雅黑"/>
                <w:szCs w:val="21"/>
              </w:rPr>
            </w:r>
            <w:r/>
          </w:p>
        </w:tc>
        <w:tc>
          <w:tcPr>
            <w:tcW w:w="1197"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≤90</w:t>
            </w:r>
            <w:r>
              <w:rPr>
                <w:rFonts w:hint="eastAsia" w:ascii="微软雅黑" w:hAnsi="微软雅黑" w:cs="微软雅黑"/>
                <w:szCs w:val="21"/>
              </w:rPr>
            </w:r>
            <w:r/>
          </w:p>
        </w:tc>
      </w:tr>
      <w:tr>
        <w:trPr>
          <w:cantSplit/>
        </w:trPr>
        <w:tc>
          <w:tcPr>
            <w:tcW w:w="891"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973" w:type="dxa"/>
            <w:vAlign w:val="center"/>
            <w:vMerge w:val="restart"/>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耐受地震能力</w:t>
            </w: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水平加速度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m/s</w:t>
            </w:r>
            <w:r>
              <w:rPr>
                <w:rFonts w:hint="eastAsia" w:ascii="微软雅黑" w:hAnsi="微软雅黑" w:cs="微软雅黑"/>
                <w:szCs w:val="21"/>
                <w:vertAlign w:val="superscript"/>
              </w:rPr>
              <w:t xml:space="preserve">2</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3.0</w:t>
            </w:r>
            <w:r>
              <w:rPr>
                <w:rFonts w:hint="eastAsia" w:ascii="微软雅黑" w:hAnsi="微软雅黑" w:cs="微软雅黑"/>
                <w:szCs w:val="21"/>
              </w:rPr>
            </w:r>
            <w:r/>
          </w:p>
        </w:tc>
      </w:tr>
      <w:tr>
        <w:trPr>
          <w:cantSplit/>
        </w:trPr>
        <w:tc>
          <w:tcPr>
            <w:tcW w:w="891"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vMerge w:val="continue"/>
            <w:textDirection w:val="lrTb"/>
            <w:noWrap w:val="false"/>
          </w:tcPr>
          <w:p>
            <w:pPr>
              <w:pStyle w:val="1044"/>
              <w:jc w:val="left"/>
              <w:spacing w:line="440" w:lineRule="exact"/>
              <w:widowControl/>
              <w:rPr>
                <w:rFonts w:hint="eastAsia" w:ascii="微软雅黑" w:hAnsi="微软雅黑" w:cs="微软雅黑"/>
                <w:szCs w:val="21"/>
              </w:rPr>
            </w:pPr>
            <w:r>
              <w:rPr>
                <w:rFonts w:hint="eastAsia" w:ascii="微软雅黑" w:hAnsi="微软雅黑" w:cs="微软雅黑"/>
                <w:szCs w:val="21"/>
              </w:rPr>
            </w:r>
            <w:r/>
          </w:p>
        </w:tc>
        <w:tc>
          <w:tcPr>
            <w:tcW w:w="1973"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垂直加速度</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m/s</w:t>
            </w:r>
            <w:r>
              <w:rPr>
                <w:rFonts w:hint="eastAsia" w:ascii="微软雅黑" w:hAnsi="微软雅黑" w:cs="微软雅黑"/>
                <w:szCs w:val="21"/>
                <w:vertAlign w:val="superscript"/>
              </w:rPr>
              <w:t xml:space="preserve">2</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r>
      <w:tr>
        <w:trPr/>
        <w:tc>
          <w:tcPr>
            <w:tcW w:w="891"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gridSpan w:val="2"/>
            <w:tcW w:w="3946"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由于主回路中的开合操作在辅助和控制</w:t>
            </w:r>
            <w:r>
              <w:rPr>
                <w:rFonts w:hint="eastAsia" w:ascii="微软雅黑" w:hAnsi="微软雅黑" w:cs="微软雅黑"/>
                <w:szCs w:val="21"/>
              </w:rPr>
              <w:br w:type="textWrapping" w:clear="all"/>
            </w:r>
            <w:r>
              <w:rPr>
                <w:rFonts w:hint="eastAsia" w:ascii="微软雅黑" w:hAnsi="微软雅黑" w:cs="微软雅黑"/>
                <w:szCs w:val="21"/>
              </w:rPr>
              <w:t xml:space="preserve">回路上所感应的共模电压的幅值</w:t>
            </w:r>
            <w:r>
              <w:rPr>
                <w:rFonts w:hint="eastAsia" w:ascii="微软雅黑" w:hAnsi="微软雅黑" w:cs="微软雅黑"/>
                <w:szCs w:val="21"/>
              </w:rPr>
            </w:r>
            <w:r/>
          </w:p>
        </w:tc>
        <w:tc>
          <w:tcPr>
            <w:tcW w:w="1197"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kV</w:t>
            </w:r>
            <w:r>
              <w:rPr>
                <w:rFonts w:hint="eastAsia" w:ascii="微软雅黑" w:hAnsi="微软雅黑" w:cs="微软雅黑"/>
                <w:szCs w:val="21"/>
              </w:rPr>
            </w:r>
            <w:r/>
          </w:p>
        </w:tc>
        <w:tc>
          <w:tcPr>
            <w:tcW w:w="2488" w:type="dxa"/>
            <w:vAlign w:val="center"/>
            <w:textDirection w:val="lrTb"/>
            <w:noWrap w:val="false"/>
          </w:tcPr>
          <w:p>
            <w:pPr>
              <w:pStyle w:val="1044"/>
              <w:jc w:val="center"/>
              <w:spacing w:before="60" w:after="60"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r>
      <w:tr>
        <w:trPr/>
        <w:tc>
          <w:tcPr>
            <w:gridSpan w:val="5"/>
            <w:tcW w:w="8522" w:type="dxa"/>
            <w:vAlign w:val="center"/>
            <w:textDirection w:val="lrTb"/>
            <w:noWrap w:val="false"/>
          </w:tcPr>
          <w:p>
            <w:pPr>
              <w:pStyle w:val="1044"/>
              <w:ind w:left="510" w:hanging="340"/>
              <w:spacing w:before="60" w:after="60" w:line="440" w:lineRule="exact"/>
              <w:rPr>
                <w:rFonts w:hint="eastAsia" w:ascii="微软雅黑" w:hAnsi="微软雅黑" w:cs="微软雅黑"/>
                <w:szCs w:val="21"/>
              </w:rPr>
            </w:pPr>
            <w:r>
              <w:rPr>
                <w:rFonts w:hint="eastAsia" w:ascii="微软雅黑" w:hAnsi="微软雅黑" w:cs="微软雅黑"/>
                <w:szCs w:val="21"/>
              </w:rPr>
              <w:t xml:space="preserve">注：表中“项目需求值”为正常使用条件，超出此值时为特殊使用条件，采购人可根据工程实际使用条件进行修改。</w:t>
            </w:r>
            <w:r>
              <w:rPr>
                <w:rFonts w:hint="eastAsia" w:ascii="微软雅黑" w:hAnsi="微软雅黑" w:cs="微软雅黑"/>
                <w:szCs w:val="21"/>
              </w:rPr>
            </w:r>
            <w:r/>
          </w:p>
        </w:tc>
      </w:tr>
    </w:tbl>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p>
      <w:pPr>
        <w:pStyle w:val="1044"/>
        <w:jc w:val="left"/>
        <w:spacing w:before="60" w:line="440" w:lineRule="exact"/>
        <w:rPr>
          <w:rFonts w:hint="eastAsia" w:ascii="微软雅黑" w:hAnsi="微软雅黑" w:cs="微软雅黑"/>
          <w:szCs w:val="21"/>
        </w:rPr>
        <w:outlineLvl w:val="0"/>
      </w:pPr>
      <w:r>
        <w:rPr>
          <w:rFonts w:hint="eastAsia" w:ascii="微软雅黑" w:hAnsi="微软雅黑" w:cs="微软雅黑"/>
          <w:szCs w:val="21"/>
        </w:rPr>
        <w:t xml:space="preserve">5　试验</w:t>
      </w:r>
      <w:r>
        <w:rPr>
          <w:rFonts w:hint="eastAsia" w:ascii="微软雅黑" w:hAnsi="微软雅黑" w:cs="微软雅黑"/>
          <w:szCs w:val="21"/>
        </w:rPr>
      </w:r>
      <w:r/>
    </w:p>
    <w:p>
      <w:pPr>
        <w:pStyle w:val="1044"/>
        <w:ind w:firstLine="420"/>
        <w:keepLines w:val="0"/>
        <w:keepNext w:val="0"/>
        <w:pageBreakBefore w:val="0"/>
        <w:spacing w:line="440" w:lineRule="exact"/>
        <w:widowControl w:val="off"/>
        <w:rPr>
          <w:rFonts w:hint="eastAsia" w:ascii="微软雅黑" w:hAnsi="微软雅黑" w:cs="微软雅黑"/>
          <w:szCs w:val="21"/>
        </w:rPr>
      </w:pPr>
      <w:r>
        <w:rPr>
          <w:rFonts w:hint="eastAsia" w:ascii="微软雅黑" w:hAnsi="微软雅黑" w:cs="微软雅黑"/>
          <w:szCs w:val="21"/>
        </w:rPr>
        <w:t xml:space="preserve">5.1 试验内容及要求</w:t>
      </w:r>
      <w:r>
        <w:rPr>
          <w:rFonts w:hint="eastAsia" w:ascii="微软雅黑" w:hAnsi="微软雅黑" w:cs="微软雅黑"/>
          <w:szCs w:val="21"/>
        </w:rPr>
      </w:r>
      <w:r/>
    </w:p>
    <w:p>
      <w:pPr>
        <w:pStyle w:val="1044"/>
        <w:ind w:firstLine="420"/>
        <w:keepLines w:val="0"/>
        <w:keepNext w:val="0"/>
        <w:pageBreakBefore w:val="0"/>
        <w:spacing w:line="440" w:lineRule="exact"/>
        <w:widowControl w:val="off"/>
        <w:rPr>
          <w:rFonts w:hint="eastAsia" w:ascii="微软雅黑" w:hAnsi="微软雅黑" w:cs="微软雅黑"/>
          <w:bCs/>
          <w:spacing w:val="3"/>
          <w:szCs w:val="21"/>
        </w:rPr>
      </w:pPr>
      <w:r>
        <w:rPr>
          <w:rFonts w:hint="eastAsia" w:ascii="微软雅黑" w:hAnsi="微软雅黑" w:cs="微软雅黑"/>
          <w:szCs w:val="21"/>
        </w:rPr>
        <w:t xml:space="preserve">5.1.1  </w:t>
      </w:r>
      <w:r>
        <w:rPr>
          <w:rFonts w:hint="eastAsia" w:ascii="微软雅黑" w:hAnsi="微软雅黑" w:cs="微软雅黑"/>
          <w:bCs/>
          <w:spacing w:val="3"/>
          <w:szCs w:val="21"/>
        </w:rPr>
        <w:t xml:space="preserve">根据国家标准（GB）和最新版的IEC标准进行试验。试验中，要遵循并执行下列附加要求和IEC的补充说明。现场交接试验应符合标准的要求。</w:t>
      </w:r>
      <w:r>
        <w:rPr>
          <w:rFonts w:hint="eastAsia" w:ascii="微软雅黑" w:hAnsi="微软雅黑" w:cs="微软雅黑"/>
          <w:bCs/>
          <w:spacing w:val="3"/>
          <w:szCs w:val="21"/>
        </w:rPr>
      </w:r>
      <w:r/>
    </w:p>
    <w:p>
      <w:pPr>
        <w:pStyle w:val="1044"/>
        <w:ind w:firstLine="420"/>
        <w:keepLines w:val="0"/>
        <w:keepNext w:val="0"/>
        <w:pageBreakBefore w:val="0"/>
        <w:spacing w:line="440" w:lineRule="exact"/>
        <w:widowControl w:val="off"/>
        <w:rPr>
          <w:rFonts w:hint="eastAsia" w:ascii="微软雅黑" w:hAnsi="微软雅黑" w:cs="微软雅黑"/>
          <w:szCs w:val="21"/>
        </w:rPr>
      </w:pPr>
      <w:r>
        <w:rPr>
          <w:rFonts w:hint="eastAsia" w:ascii="微软雅黑" w:hAnsi="微软雅黑" w:cs="微软雅黑"/>
          <w:szCs w:val="21"/>
        </w:rPr>
        <w:t xml:space="preserve">5.1.2  </w:t>
      </w:r>
      <w:r>
        <w:rPr>
          <w:rFonts w:hint="eastAsia" w:ascii="微软雅黑" w:hAnsi="微软雅黑" w:cs="微软雅黑"/>
          <w:bCs/>
          <w:spacing w:val="3"/>
          <w:szCs w:val="21"/>
        </w:rPr>
        <w:t xml:space="preserve">低压开关柜进行随机抽样检验。</w:t>
      </w:r>
      <w:r>
        <w:rPr>
          <w:rFonts w:hint="eastAsia" w:ascii="微软雅黑" w:hAnsi="微软雅黑" w:cs="微软雅黑"/>
          <w:szCs w:val="21"/>
        </w:rPr>
      </w:r>
      <w:r/>
    </w:p>
    <w:p>
      <w:pPr>
        <w:pStyle w:val="1044"/>
        <w:ind w:firstLine="420"/>
        <w:keepLines w:val="0"/>
        <w:keepNext w:val="0"/>
        <w:pageBreakBefore w:val="0"/>
        <w:spacing w:line="440" w:lineRule="exact"/>
        <w:widowControl w:val="off"/>
        <w:rPr>
          <w:rFonts w:hint="eastAsia" w:ascii="微软雅黑" w:hAnsi="微软雅黑" w:cs="微软雅黑"/>
          <w:szCs w:val="21"/>
        </w:rPr>
      </w:pPr>
      <w:r>
        <w:rPr>
          <w:rFonts w:hint="eastAsia" w:ascii="微软雅黑" w:hAnsi="微软雅黑" w:cs="微软雅黑"/>
          <w:szCs w:val="21"/>
        </w:rPr>
        <w:t xml:space="preserve">5.1.3  </w:t>
      </w:r>
      <w:r>
        <w:rPr>
          <w:rFonts w:hint="eastAsia" w:ascii="微软雅黑" w:hAnsi="微软雅黑" w:cs="微软雅黑"/>
          <w:bCs/>
          <w:spacing w:val="3"/>
          <w:szCs w:val="21"/>
        </w:rPr>
        <w:t xml:space="preserve">型式试验、抽检试验、出厂试验和现场交接试验的试验项目见表6：</w:t>
      </w:r>
      <w:r>
        <w:rPr>
          <w:rFonts w:hint="eastAsia" w:ascii="微软雅黑" w:hAnsi="微软雅黑" w:cs="微软雅黑"/>
          <w:szCs w:val="21"/>
        </w:rPr>
      </w:r>
      <w:r/>
    </w:p>
    <w:p>
      <w:pPr>
        <w:pStyle w:val="1044"/>
        <w:ind w:left="720"/>
        <w:jc w:val="center"/>
        <w:spacing w:before="159" w:line="440" w:lineRule="exact"/>
        <w:tabs>
          <w:tab w:val="left" w:pos="420" w:leader="none"/>
        </w:tabs>
        <w:rPr>
          <w:rFonts w:hint="eastAsia" w:ascii="微软雅黑" w:hAnsi="微软雅黑" w:cs="微软雅黑"/>
          <w:szCs w:val="21"/>
        </w:rPr>
      </w:pPr>
      <w:r>
        <w:rPr>
          <w:rFonts w:hint="eastAsia" w:ascii="微软雅黑" w:hAnsi="微软雅黑" w:cs="微软雅黑"/>
          <w:szCs w:val="21"/>
        </w:rPr>
        <w:t xml:space="preserve">表6  型式试验、抽检试验、出厂试验和现场交接试验的试验项目</w:t>
      </w:r>
      <w:r>
        <w:rPr>
          <w:rFonts w:hint="eastAsia" w:ascii="微软雅黑" w:hAnsi="微软雅黑" w:cs="微软雅黑"/>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2738"/>
        <w:gridCol w:w="1514"/>
        <w:gridCol w:w="1513"/>
        <w:gridCol w:w="1513"/>
        <w:gridCol w:w="1344"/>
      </w:tblGrid>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序号</w:t>
            </w:r>
            <w:r>
              <w:rPr>
                <w:rFonts w:hint="eastAsia" w:ascii="微软雅黑" w:hAnsi="微软雅黑" w:cs="微软雅黑"/>
                <w:szCs w:val="21"/>
              </w:rPr>
            </w:r>
            <w:r/>
          </w:p>
        </w:tc>
        <w:tc>
          <w:tcPr>
            <w:tcW w:w="2738"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试验项目</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型式试验</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出厂试验</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交接试验</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抽检试验</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一般检查</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绝缘电阻验证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介电性能验证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通电操作试验</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接地连续性试验</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温升极限的验证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短路耐受强度验证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保护电路有效性验证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电气间隙和爬电距离验证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机械操作验证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r>
      <w:tr>
        <w:trPr/>
        <w:tc>
          <w:tcPr>
            <w:tcW w:w="66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2738" w:type="dxa"/>
            <w:vAlign w:val="top"/>
            <w:textDirection w:val="lrTb"/>
            <w:noWrap w:val="false"/>
          </w:tcPr>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防护等级验证</w:t>
            </w:r>
            <w:r>
              <w:rPr>
                <w:rFonts w:hint="eastAsia" w:ascii="微软雅黑" w:hAnsi="微软雅黑" w:cs="微软雅黑"/>
                <w:szCs w:val="21"/>
              </w:rPr>
            </w:r>
            <w:r/>
          </w:p>
        </w:tc>
        <w:tc>
          <w:tcPr>
            <w:tcW w:w="151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513"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c>
          <w:tcPr>
            <w:tcW w:w="1344"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r>
            <w:r/>
          </w:p>
        </w:tc>
      </w:tr>
    </w:tbl>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5.2 型式试验、出厂试验、交接试验、抽检试验的试验方法及要求</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5.2.1  一般检查</w:t>
      </w:r>
      <w:r>
        <w:rPr>
          <w:rFonts w:hint="eastAsia" w:ascii="微软雅黑" w:hAnsi="微软雅黑" w:cs="微软雅黑"/>
          <w:szCs w:val="21"/>
        </w:rPr>
      </w:r>
      <w:r/>
    </w:p>
    <w:p>
      <w:pPr>
        <w:pStyle w:val="1044"/>
        <w:ind w:left="840" w:hanging="420"/>
        <w:spacing w:line="440" w:lineRule="exact"/>
        <w:tabs>
          <w:tab w:val="left" w:pos="420" w:leader="none"/>
        </w:tabs>
        <w:rPr>
          <w:rFonts w:hint="eastAsia" w:ascii="微软雅黑" w:hAnsi="微软雅黑" w:cs="微软雅黑"/>
          <w:szCs w:val="21"/>
        </w:rPr>
        <w:outlineLvl w:val="4"/>
      </w:pPr>
      <w:r>
        <w:rPr>
          <w:rFonts w:hint="eastAsia" w:ascii="微软雅黑" w:hAnsi="微软雅黑" w:cs="微软雅黑"/>
          <w:szCs w:val="21"/>
        </w:rPr>
        <w:t xml:space="preserve">a）</w:t>
      </w:r>
      <w:r>
        <w:rPr>
          <w:rFonts w:hint="eastAsia" w:ascii="微软雅黑" w:hAnsi="微软雅黑" w:cs="微软雅黑"/>
          <w:szCs w:val="21"/>
        </w:rPr>
        <w:tab/>
      </w:r>
      <w:r>
        <w:rPr>
          <w:rFonts w:hint="eastAsia" w:ascii="微软雅黑" w:hAnsi="微软雅黑" w:cs="微软雅黑"/>
          <w:szCs w:val="21"/>
        </w:rPr>
        <w:t xml:space="preserve">对开关的机械操作元器件，连锁，锁扣等部件的有效性进行检查，机械操作试验试验结果判定：正常分合，灵活可靠，无卡滞及操作力过大现象，装置手动操作的部件5次，机构动作可靠。</w:t>
      </w:r>
      <w:r>
        <w:rPr>
          <w:rFonts w:hint="eastAsia" w:ascii="微软雅黑" w:hAnsi="微软雅黑" w:cs="微软雅黑"/>
          <w:szCs w:val="21"/>
        </w:rPr>
      </w:r>
      <w:r/>
    </w:p>
    <w:p>
      <w:pPr>
        <w:pStyle w:val="1044"/>
        <w:ind w:left="840" w:hanging="420"/>
        <w:spacing w:line="440" w:lineRule="exact"/>
        <w:tabs>
          <w:tab w:val="left" w:pos="420" w:leader="none"/>
        </w:tabs>
        <w:rPr>
          <w:rFonts w:hint="eastAsia" w:ascii="微软雅黑" w:hAnsi="微软雅黑" w:cs="微软雅黑"/>
          <w:szCs w:val="21"/>
        </w:rPr>
        <w:outlineLvl w:val="4"/>
      </w:pPr>
      <w:r>
        <w:rPr>
          <w:rFonts w:hint="eastAsia" w:ascii="微软雅黑" w:hAnsi="微软雅黑" w:cs="微软雅黑"/>
          <w:szCs w:val="21"/>
        </w:rPr>
        <w:t xml:space="preserve">b）</w:t>
      </w:r>
      <w:r>
        <w:rPr>
          <w:rFonts w:hint="eastAsia" w:ascii="微软雅黑" w:hAnsi="微软雅黑" w:cs="微软雅黑"/>
          <w:szCs w:val="21"/>
        </w:rPr>
        <w:tab/>
      </w:r>
      <w:r>
        <w:rPr>
          <w:rFonts w:hint="eastAsia" w:ascii="微软雅黑" w:hAnsi="微软雅黑" w:cs="微软雅黑"/>
          <w:szCs w:val="21"/>
        </w:rPr>
        <w:t xml:space="preserve">检查导线、电缆布置是否符合要求试验结果判定：主辅电器接线与接线图和技术数据相符，导体截面、颜色、标志及相序应符合要求。</w:t>
      </w:r>
      <w:r>
        <w:rPr>
          <w:rFonts w:hint="eastAsia" w:ascii="微软雅黑" w:hAnsi="微软雅黑" w:cs="微软雅黑"/>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c）</w:t>
      </w:r>
      <w:r>
        <w:rPr>
          <w:rFonts w:hint="eastAsia" w:ascii="微软雅黑" w:hAnsi="微软雅黑" w:cs="微软雅黑"/>
          <w:szCs w:val="21"/>
        </w:rPr>
        <w:tab/>
      </w:r>
      <w:r>
        <w:rPr>
          <w:rFonts w:hint="eastAsia" w:ascii="微软雅黑" w:hAnsi="微软雅黑" w:cs="微软雅黑"/>
          <w:bCs/>
          <w:spacing w:val="3"/>
          <w:szCs w:val="21"/>
        </w:rPr>
        <w:t xml:space="preserve">防护等级是否符合IP30</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试验结果判定：用φ2.5mm直硬钢丝作试验，不能进入壳内。</w:t>
      </w:r>
      <w:r>
        <w:rPr>
          <w:rFonts w:hint="eastAsia" w:ascii="微软雅黑" w:hAnsi="微软雅黑" w:cs="微软雅黑"/>
          <w:bCs/>
          <w:spacing w:val="3"/>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d）</w:t>
      </w:r>
      <w:r>
        <w:rPr>
          <w:rFonts w:hint="eastAsia" w:ascii="微软雅黑" w:hAnsi="微软雅黑" w:cs="微软雅黑"/>
          <w:szCs w:val="21"/>
        </w:rPr>
        <w:tab/>
      </w:r>
      <w:r>
        <w:rPr>
          <w:rFonts w:hint="eastAsia" w:ascii="微软雅黑" w:hAnsi="微软雅黑" w:cs="微软雅黑"/>
          <w:bCs/>
          <w:spacing w:val="3"/>
          <w:szCs w:val="21"/>
        </w:rPr>
        <w:t xml:space="preserve">标志是否符合要求</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试验结果判定：是否有主接地点和接地标志。</w:t>
      </w:r>
      <w:r>
        <w:rPr>
          <w:rFonts w:hint="eastAsia" w:ascii="微软雅黑" w:hAnsi="微软雅黑" w:cs="微软雅黑"/>
          <w:bCs/>
          <w:spacing w:val="3"/>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e）</w:t>
      </w:r>
      <w:r>
        <w:rPr>
          <w:rFonts w:hint="eastAsia" w:ascii="微软雅黑" w:hAnsi="微软雅黑" w:cs="微软雅黑"/>
          <w:szCs w:val="21"/>
        </w:rPr>
        <w:tab/>
      </w:r>
      <w:r>
        <w:rPr>
          <w:rFonts w:hint="eastAsia" w:ascii="微软雅黑" w:hAnsi="微软雅黑" w:cs="微软雅黑"/>
          <w:bCs/>
          <w:spacing w:val="3"/>
          <w:szCs w:val="21"/>
        </w:rPr>
        <w:t xml:space="preserve">铭牌检查</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试验结果判定：铭牌应清晰、牢固、壳体外表面涂层应协调。</w:t>
      </w:r>
      <w:r>
        <w:rPr>
          <w:rFonts w:hint="eastAsia" w:ascii="微软雅黑" w:hAnsi="微软雅黑" w:cs="微软雅黑"/>
          <w:bCs/>
          <w:spacing w:val="3"/>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f）</w:t>
      </w:r>
      <w:r>
        <w:rPr>
          <w:rFonts w:hint="eastAsia" w:ascii="微软雅黑" w:hAnsi="微软雅黑" w:cs="微软雅黑"/>
          <w:szCs w:val="21"/>
        </w:rPr>
        <w:tab/>
      </w:r>
      <w:r>
        <w:rPr>
          <w:rFonts w:hint="eastAsia" w:ascii="微软雅黑" w:hAnsi="微软雅黑" w:cs="微软雅黑"/>
          <w:bCs/>
          <w:spacing w:val="3"/>
          <w:szCs w:val="21"/>
        </w:rPr>
        <w:t xml:space="preserve">母线检查</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试验结果判定：母线应平整光滑、无毛刺、锤痕。</w:t>
      </w:r>
      <w:r>
        <w:rPr>
          <w:rFonts w:hint="eastAsia" w:ascii="微软雅黑" w:hAnsi="微软雅黑" w:cs="微软雅黑"/>
          <w:bCs/>
          <w:spacing w:val="3"/>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g）</w:t>
      </w:r>
      <w:r>
        <w:rPr>
          <w:rFonts w:hint="eastAsia" w:ascii="微软雅黑" w:hAnsi="微软雅黑" w:cs="微软雅黑"/>
          <w:szCs w:val="21"/>
        </w:rPr>
        <w:tab/>
      </w:r>
      <w:r>
        <w:rPr>
          <w:rFonts w:hint="eastAsia" w:ascii="微软雅黑" w:hAnsi="微软雅黑" w:cs="微软雅黑"/>
          <w:bCs/>
          <w:spacing w:val="3"/>
          <w:szCs w:val="21"/>
        </w:rPr>
        <w:t xml:space="preserve">是否安装了保护性设施</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试验结果判定：是否安装避雷器。</w:t>
      </w:r>
      <w:r>
        <w:rPr>
          <w:rFonts w:hint="eastAsia" w:ascii="微软雅黑" w:hAnsi="微软雅黑" w:cs="微软雅黑"/>
          <w:bCs/>
          <w:spacing w:val="3"/>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h）</w:t>
      </w:r>
      <w:r>
        <w:rPr>
          <w:rFonts w:hint="eastAsia" w:ascii="微软雅黑" w:hAnsi="微软雅黑" w:cs="微软雅黑"/>
          <w:szCs w:val="21"/>
        </w:rPr>
        <w:tab/>
      </w:r>
      <w:r>
        <w:rPr>
          <w:rFonts w:hint="eastAsia" w:ascii="微软雅黑" w:hAnsi="微软雅黑" w:cs="微软雅黑"/>
          <w:bCs/>
          <w:spacing w:val="3"/>
          <w:szCs w:val="21"/>
        </w:rPr>
        <w:t xml:space="preserve">电气间隙测量</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试验结果判定：大于等于14.0mm。</w:t>
      </w:r>
      <w:r>
        <w:rPr>
          <w:rFonts w:hint="eastAsia" w:ascii="微软雅黑" w:hAnsi="微软雅黑" w:cs="微软雅黑"/>
          <w:bCs/>
          <w:spacing w:val="3"/>
          <w:szCs w:val="21"/>
        </w:rPr>
      </w:r>
      <w:r/>
    </w:p>
    <w:p>
      <w:pPr>
        <w:pStyle w:val="1044"/>
        <w:ind w:left="840" w:hanging="420"/>
        <w:spacing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szCs w:val="21"/>
        </w:rPr>
        <w:t xml:space="preserve">i）</w:t>
      </w:r>
      <w:r>
        <w:rPr>
          <w:rFonts w:hint="eastAsia" w:ascii="微软雅黑" w:hAnsi="微软雅黑" w:cs="微软雅黑"/>
          <w:szCs w:val="21"/>
        </w:rPr>
        <w:tab/>
      </w:r>
      <w:r>
        <w:rPr>
          <w:rFonts w:hint="eastAsia" w:ascii="微软雅黑" w:hAnsi="微软雅黑" w:cs="微软雅黑"/>
          <w:bCs/>
          <w:spacing w:val="3"/>
          <w:szCs w:val="21"/>
        </w:rPr>
        <w:t xml:space="preserve">爬电距离测量</w:t>
      </w:r>
      <w:r>
        <w:rPr>
          <w:rFonts w:hint="eastAsia" w:ascii="微软雅黑" w:hAnsi="微软雅黑" w:cs="微软雅黑"/>
          <w:bCs/>
          <w:spacing w:val="3"/>
          <w:szCs w:val="21"/>
          <w:lang w:eastAsia="zh-CN"/>
        </w:rPr>
        <w:t xml:space="preserve">，</w:t>
      </w:r>
      <w:r>
        <w:rPr>
          <w:rFonts w:hint="eastAsia" w:ascii="微软雅黑" w:hAnsi="微软雅黑" w:cs="微软雅黑"/>
          <w:bCs/>
          <w:spacing w:val="3"/>
          <w:szCs w:val="21"/>
        </w:rPr>
        <w:t xml:space="preserve">试验结果判定：大于等于16.0mm。</w:t>
      </w:r>
      <w:r>
        <w:rPr>
          <w:rFonts w:hint="eastAsia" w:ascii="微软雅黑" w:hAnsi="微软雅黑" w:cs="微软雅黑"/>
          <w:bCs/>
          <w:spacing w:val="3"/>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5.2.2  绝缘电阻验证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应用电压至少为500V的绝缘测量仪器，对带电体之间、带电体与裸露导电部件之间、带电体对地的绝缘电阻进行测量。试验结果判定：带电体之间、带电体与裸露导电部件之间、带电体对地的绝缘电阻不小于1000Ω/V（标称电压），则此项试验通过。</w:t>
      </w:r>
      <w:r>
        <w:rPr>
          <w:rFonts w:hint="eastAsia" w:ascii="微软雅黑" w:hAnsi="微软雅黑" w:cs="微软雅黑"/>
          <w:bCs/>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5.2.3  工频耐压试验</w:t>
      </w:r>
      <w:r>
        <w:rPr>
          <w:rFonts w:hint="eastAsia" w:ascii="微软雅黑" w:hAnsi="微软雅黑" w:cs="微软雅黑"/>
          <w:szCs w:val="21"/>
        </w:rPr>
      </w:r>
      <w:r/>
    </w:p>
    <w:p>
      <w:pPr>
        <w:pStyle w:val="1044"/>
        <w:ind w:left="0" w:firstLine="432"/>
        <w:keepLines w:val="0"/>
        <w:keepNext w:val="0"/>
        <w:pageBreakBefore w:val="0"/>
        <w:spacing w:before="50" w:after="156" w:line="440" w:lineRule="exact"/>
        <w:widowControl w:val="off"/>
        <w:tabs>
          <w:tab w:val="left" w:pos="420" w:leader="none"/>
        </w:tabs>
        <w:rPr>
          <w:rFonts w:hint="eastAsia" w:ascii="微软雅黑" w:hAnsi="微软雅黑" w:cs="微软雅黑"/>
          <w:bCs/>
          <w:spacing w:val="3"/>
          <w:szCs w:val="21"/>
        </w:rPr>
        <w:outlineLvl w:val="4"/>
      </w:pPr>
      <w:r>
        <w:rPr>
          <w:rFonts w:hint="eastAsia" w:ascii="微软雅黑" w:hAnsi="微软雅黑" w:cs="微软雅黑"/>
          <w:bCs/>
          <w:spacing w:val="3"/>
          <w:szCs w:val="21"/>
        </w:rPr>
        <w:t xml:space="preserve">1)主回路与主回路直接相连的辅助电路应能耐受表7规定的工频耐压试验电压。</w:t>
      </w:r>
      <w:r>
        <w:rPr>
          <w:rFonts w:hint="eastAsia" w:ascii="微软雅黑" w:hAnsi="微软雅黑" w:cs="微软雅黑"/>
          <w:bCs/>
          <w:spacing w:val="3"/>
          <w:szCs w:val="21"/>
        </w:rPr>
      </w:r>
      <w:r/>
    </w:p>
    <w:p>
      <w:pPr>
        <w:pStyle w:val="1044"/>
        <w:ind w:left="2520" w:firstLine="756"/>
        <w:spacing w:before="156" w:line="440" w:lineRule="exact"/>
        <w:tabs>
          <w:tab w:val="left" w:pos="420" w:leader="none"/>
        </w:tabs>
        <w:rPr>
          <w:rFonts w:hint="eastAsia" w:ascii="微软雅黑" w:hAnsi="微软雅黑" w:cs="微软雅黑"/>
          <w:bCs/>
          <w:spacing w:val="3"/>
          <w:szCs w:val="21"/>
        </w:rPr>
      </w:pPr>
      <w:r>
        <w:rPr>
          <w:rFonts w:hint="eastAsia" w:ascii="微软雅黑" w:hAnsi="微软雅黑" w:cs="微软雅黑"/>
          <w:bCs/>
          <w:spacing w:val="3"/>
          <w:szCs w:val="21"/>
        </w:rPr>
        <w:t xml:space="preserve">表7  试验电压值</w:t>
      </w:r>
      <w:r>
        <w:rPr>
          <w:rFonts w:hint="eastAsia" w:ascii="微软雅黑" w:hAnsi="微软雅黑" w:cs="微软雅黑"/>
          <w:bCs/>
          <w:spacing w:val="3"/>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7"/>
        <w:gridCol w:w="4641"/>
      </w:tblGrid>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额定绝缘电压Ui/V</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试验电压（交流方均根值）/V</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Ui≤60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1000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60＜Ui≤300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2000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300＜Ui≤690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2500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690＜Ui≤800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3000</w:t>
            </w:r>
            <w:r>
              <w:rPr>
                <w:rFonts w:hint="eastAsia" w:ascii="微软雅黑" w:hAnsi="微软雅黑" w:cs="微软雅黑"/>
                <w:szCs w:val="21"/>
              </w:rPr>
            </w:r>
            <w:r/>
          </w:p>
        </w:tc>
      </w:tr>
      <w:tr>
        <w:trPr/>
        <w:tc>
          <w:tcPr>
            <w:tcW w:w="4647"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800＜Ui≤1000（或1140）</w:t>
            </w:r>
            <w:r>
              <w:rPr>
                <w:rFonts w:hint="eastAsia" w:ascii="微软雅黑" w:hAnsi="微软雅黑" w:cs="微软雅黑"/>
                <w:szCs w:val="21"/>
              </w:rPr>
            </w:r>
            <w:r/>
          </w:p>
        </w:tc>
        <w:tc>
          <w:tcPr>
            <w:tcW w:w="4641"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3500</w:t>
            </w:r>
            <w:r>
              <w:rPr>
                <w:rFonts w:hint="eastAsia" w:ascii="微软雅黑" w:hAnsi="微软雅黑" w:cs="微软雅黑"/>
                <w:szCs w:val="21"/>
              </w:rPr>
            </w:r>
            <w:r/>
          </w:p>
        </w:tc>
      </w:tr>
    </w:tbl>
    <w:p>
      <w:pPr>
        <w:pStyle w:val="1044"/>
        <w:ind w:left="1260" w:hanging="420"/>
        <w:spacing w:before="156" w:after="156" w:line="440" w:lineRule="exact"/>
        <w:tabs>
          <w:tab w:val="left" w:pos="420" w:leader="none"/>
        </w:tabs>
        <w:rPr>
          <w:rFonts w:hint="eastAsia" w:ascii="微软雅黑" w:hAnsi="微软雅黑" w:cs="微软雅黑"/>
          <w:bCs/>
          <w:spacing w:val="3"/>
          <w:szCs w:val="21"/>
        </w:rPr>
        <w:outlineLvl w:val="4"/>
      </w:pPr>
      <w:r>
        <w:rPr>
          <w:rFonts w:hint="eastAsia" w:ascii="微软雅黑" w:hAnsi="微软雅黑" w:cs="微软雅黑"/>
          <w:bCs/>
          <w:spacing w:val="3"/>
          <w:szCs w:val="21"/>
        </w:rPr>
        <w:t xml:space="preserve">2)不与主回路直接相连的辅助电路应能耐受表8规定的工频耐压试验电压</w:t>
      </w:r>
      <w:r>
        <w:rPr>
          <w:rFonts w:hint="eastAsia" w:ascii="微软雅黑" w:hAnsi="微软雅黑" w:cs="微软雅黑"/>
          <w:bCs/>
          <w:spacing w:val="3"/>
          <w:szCs w:val="21"/>
        </w:rPr>
      </w:r>
      <w:r/>
    </w:p>
    <w:p>
      <w:pPr>
        <w:pStyle w:val="1044"/>
        <w:ind w:left="720"/>
        <w:jc w:val="center"/>
        <w:spacing w:before="159" w:line="440" w:lineRule="exact"/>
        <w:tabs>
          <w:tab w:val="left" w:pos="420" w:leader="none"/>
        </w:tabs>
        <w:rPr>
          <w:rFonts w:hint="eastAsia" w:ascii="微软雅黑" w:hAnsi="微软雅黑" w:cs="微软雅黑"/>
          <w:bCs/>
          <w:spacing w:val="3"/>
          <w:szCs w:val="21"/>
        </w:rPr>
      </w:pPr>
      <w:r>
        <w:rPr>
          <w:rFonts w:hint="eastAsia" w:ascii="微软雅黑" w:hAnsi="微软雅黑" w:cs="微软雅黑"/>
          <w:bCs/>
          <w:spacing w:val="3"/>
          <w:szCs w:val="21"/>
        </w:rPr>
        <w:t xml:space="preserve">    表8  不由主回路直接供电的辅助电路试验电压值</w:t>
      </w:r>
      <w:r>
        <w:rPr>
          <w:rFonts w:hint="eastAsia" w:ascii="微软雅黑" w:hAnsi="微软雅黑" w:cs="微软雅黑"/>
          <w:bCs/>
          <w:spacing w:val="3"/>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2"/>
        <w:gridCol w:w="4656"/>
      </w:tblGrid>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额定绝缘电压Ui/V</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试验电压（交流方均根值）/V</w:t>
            </w:r>
            <w:r>
              <w:rPr>
                <w:rFonts w:hint="eastAsia" w:ascii="微软雅黑" w:hAnsi="微软雅黑" w:cs="微软雅黑"/>
                <w:szCs w:val="21"/>
              </w:rPr>
            </w:r>
            <w:r/>
          </w:p>
        </w:tc>
      </w:tr>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Ui≤12</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250</w:t>
            </w:r>
            <w:r>
              <w:rPr>
                <w:rFonts w:hint="eastAsia" w:ascii="微软雅黑" w:hAnsi="微软雅黑" w:cs="微软雅黑"/>
                <w:szCs w:val="21"/>
              </w:rPr>
            </w:r>
            <w:r/>
          </w:p>
        </w:tc>
      </w:tr>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12＜Ui≤60</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500</w:t>
            </w:r>
            <w:r>
              <w:rPr>
                <w:rFonts w:hint="eastAsia" w:ascii="微软雅黑" w:hAnsi="微软雅黑" w:cs="微软雅黑"/>
                <w:szCs w:val="21"/>
              </w:rPr>
            </w:r>
            <w:r/>
          </w:p>
        </w:tc>
      </w:tr>
      <w:tr>
        <w:trPr/>
        <w:tc>
          <w:tcPr>
            <w:tcW w:w="4632"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Ui＞60</w:t>
            </w:r>
            <w:r>
              <w:rPr>
                <w:rFonts w:hint="eastAsia" w:ascii="微软雅黑" w:hAnsi="微软雅黑" w:cs="微软雅黑"/>
                <w:szCs w:val="21"/>
              </w:rPr>
            </w:r>
            <w:r/>
          </w:p>
        </w:tc>
        <w:tc>
          <w:tcPr>
            <w:tcW w:w="4656" w:type="dxa"/>
            <w:vAlign w:val="top"/>
            <w:textDirection w:val="lrTb"/>
            <w:noWrap w:val="false"/>
          </w:tcPr>
          <w:p>
            <w:pPr>
              <w:pStyle w:val="1044"/>
              <w:jc w:val="center"/>
              <w:spacing w:line="440" w:lineRule="exact"/>
              <w:rPr>
                <w:rFonts w:hint="eastAsia" w:ascii="微软雅黑" w:hAnsi="微软雅黑" w:cs="微软雅黑"/>
                <w:szCs w:val="21"/>
              </w:rPr>
            </w:pPr>
            <w:r>
              <w:rPr>
                <w:rFonts w:hint="eastAsia" w:ascii="微软雅黑" w:hAnsi="微软雅黑" w:cs="微软雅黑"/>
                <w:szCs w:val="21"/>
              </w:rPr>
              <w:t xml:space="preserve">2Ui+1000，但不小于1500</w:t>
            </w:r>
            <w:r>
              <w:rPr>
                <w:rFonts w:hint="eastAsia" w:ascii="微软雅黑" w:hAnsi="微软雅黑" w:cs="微软雅黑"/>
                <w:szCs w:val="21"/>
              </w:rPr>
            </w:r>
            <w:r/>
          </w:p>
        </w:tc>
      </w:tr>
    </w:tbl>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5.2.4  通电操作试验</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检查装置的内部接线正确无误后，在辅助电路分别通以额定电压的85%和110%，各操作5次。试验结果判定：电器元器件的动作显示均应符合相应要求，且各操作器件动作灵活。</w:t>
      </w:r>
      <w:r>
        <w:rPr>
          <w:rFonts w:hint="eastAsia" w:ascii="微软雅黑" w:hAnsi="微软雅黑" w:cs="微软雅黑"/>
          <w:bCs/>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5.2.5  温升极限的验证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7251.1-2005中8.2.1的规定。试验结果判定：测试结果应符合GB 7251.1-2005中8.2.1.7的规定。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5.2.6  短路耐受强度验证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7251.1-2005中8.2.3的规定。试验结果判定：测试结果应符合GB 7251.1-2005中8.2.3.2.5的规定。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5.2.7  保护电路有效性验证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7251.1-2005中8.2.4的规定。试验结果判定：测试结果应符合GB 7251.1-2005中8.2.4.3的规定。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5.2.8  电气间隙和爬电距离验证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7251.1-2005中8.2.5的规定。试验结果判定：测试结果应符合GB 7251.1-2005中7.1.2.1的规定。</w:t>
      </w:r>
      <w:r>
        <w:rPr>
          <w:rFonts w:hint="eastAsia" w:ascii="微软雅黑" w:hAnsi="微软雅黑" w:cs="微软雅黑"/>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5.2.9  机械操作验证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bCs/>
          <w:szCs w:val="21"/>
        </w:rPr>
      </w:pPr>
      <w:r>
        <w:rPr>
          <w:rFonts w:hint="eastAsia" w:ascii="微软雅黑" w:hAnsi="微软雅黑" w:cs="微软雅黑"/>
          <w:szCs w:val="21"/>
        </w:rPr>
        <w:t xml:space="preserve">按GB 7251.1-2005中8.2.6的规定。试验结果判定：如果器件、联锁机构等的工作条件未受影响，而且所要求的操作力与试验前一样，则认为通过了此项试验。</w:t>
      </w:r>
      <w:r>
        <w:rPr>
          <w:rFonts w:hint="eastAsia" w:ascii="微软雅黑" w:hAnsi="微软雅黑" w:cs="微软雅黑"/>
          <w:bCs/>
          <w:szCs w:val="21"/>
        </w:rPr>
      </w:r>
      <w:r/>
    </w:p>
    <w:p>
      <w:pPr>
        <w:pStyle w:val="1044"/>
        <w:spacing w:before="159" w:line="440" w:lineRule="exact"/>
        <w:tabs>
          <w:tab w:val="left" w:pos="420" w:leader="none"/>
        </w:tabs>
        <w:rPr>
          <w:rFonts w:hint="eastAsia" w:ascii="微软雅黑" w:hAnsi="微软雅黑" w:cs="微软雅黑"/>
          <w:szCs w:val="21"/>
        </w:rPr>
        <w:outlineLvl w:val="2"/>
      </w:pPr>
      <w:r>
        <w:rPr>
          <w:rFonts w:hint="eastAsia" w:ascii="微软雅黑" w:hAnsi="微软雅黑" w:cs="微软雅黑"/>
          <w:szCs w:val="21"/>
        </w:rPr>
        <w:t xml:space="preserve">5.2.10  防护等级验证</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按GB 7251.1-2005中8.2.7的规定。试验结果判定：测试结果应符合GB 7251.1-2005中7.2.1和7.7的规定。</w:t>
      </w:r>
      <w:r>
        <w:rPr>
          <w:rFonts w:hint="eastAsia" w:ascii="微软雅黑" w:hAnsi="微软雅黑" w:cs="微软雅黑"/>
          <w:szCs w:val="21"/>
        </w:rPr>
      </w:r>
      <w:r/>
    </w:p>
    <w:p>
      <w:pPr>
        <w:pStyle w:val="1044"/>
        <w:spacing w:line="440" w:lineRule="exact"/>
        <w:tabs>
          <w:tab w:val="center" w:pos="4201" w:leader="none"/>
          <w:tab w:val="right" w:pos="9298" w:leader="dot"/>
        </w:tabs>
        <w:rPr>
          <w:rFonts w:hint="eastAsia" w:ascii="微软雅黑" w:hAnsi="微软雅黑" w:cs="微软雅黑"/>
          <w:szCs w:val="21"/>
        </w:rPr>
      </w:pPr>
      <w:r>
        <w:rPr>
          <w:rFonts w:hint="eastAsia" w:ascii="微软雅黑" w:hAnsi="微软雅黑" w:cs="微软雅黑"/>
          <w:szCs w:val="21"/>
        </w:rPr>
      </w:r>
      <w:r/>
    </w:p>
    <w:p>
      <w:pPr>
        <w:pStyle w:val="1044"/>
        <w:jc w:val="center"/>
        <w:spacing w:line="440" w:lineRule="exact"/>
        <w:widowControl/>
        <w:rPr>
          <w:rFonts w:hint="eastAsia" w:ascii="微软雅黑" w:hAnsi="微软雅黑" w:cs="微软雅黑"/>
          <w:color w:val="000000"/>
          <w:szCs w:val="21"/>
          <w:lang w:bidi="ar"/>
        </w:rPr>
      </w:pPr>
      <w:r>
        <w:rPr>
          <w:rFonts w:hint="eastAsia" w:ascii="微软雅黑" w:hAnsi="微软雅黑" w:cs="微软雅黑"/>
          <w:color w:val="000000"/>
          <w:szCs w:val="21"/>
          <w:lang w:bidi="ar"/>
        </w:rPr>
      </w:r>
      <w:r/>
    </w:p>
    <w:p>
      <w:pPr>
        <w:pStyle w:val="1044"/>
        <w:spacing w:line="440" w:lineRule="exact"/>
        <w:rPr>
          <w:rFonts w:hint="eastAsia" w:ascii="微软雅黑" w:hAnsi="微软雅黑" w:cs="微软雅黑"/>
          <w:b/>
          <w:szCs w:val="21"/>
        </w:rPr>
        <w:outlineLvl w:val="1"/>
      </w:pPr>
      <w:r>
        <w:rPr>
          <w:rFonts w:hint="eastAsia" w:ascii="微软雅黑" w:hAnsi="微软雅黑" w:cs="微软雅黑"/>
          <w:b/>
          <w:szCs w:val="21"/>
        </w:rPr>
        <w:t xml:space="preserve">6  包装及运输</w:t>
      </w:r>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 包装</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6.1.1 供方必须根据国家标准和需方的实际运输条件, 将分接箱和所有零部件采用适合于铁路、公路和水路远途运输的包装箱进行包装好, 并将全套安装使用维护说明书、产品合格证明书、产品外形出厂图、运输尺寸图、产品拆卸件一览表、装箱单、铭牌图或铭牌标志图以及备品备件一览表等应妥善包装防止受潮。</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6.1.2 大件和重件需在运输文件中附上尺寸图和重量, 并提供起吊图纸和说明, 包装箱上应有起吊标志。</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6.1.3 所需的备品备件及专用工具与仪器仪表应装在箱内, 在箱上注明“专用工具”、“仪器仪表”, 以与本体相区别; 并标明“防尘”、“防潮”、“防止损坏”、“易碎”、“向上”、“勿倒”等字样，同主设备一并发运。</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6.1.4 包装箱应连续编号, 不能有重号。包装箱外壁的文字与标志应耐受风吹日晒,不可因雨水冲刷而模糊不清,其内容应包括:</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(1) 合同号;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(2) 收货单位名称及地址;</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(3) 分接箱名称及型号;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(4) 毛重和分接箱总重;</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(5) 包装箱外形尺寸;</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 制造厂名称;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(7) 包装箱储运指示标志:“向上”、“防潮”、“小心轻放”、“由此吊起”等字样。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6.1.5 从供方发货至需方收到期间, 设备应完好无损。凡因包装不良而造成一切损失应由供方自负。</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 运输</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6.2.1 供方负责将设备安全运抵需方指定的地点。设备从生产厂家至需方指定地点的运输和装卸全部由供方完成。装运设备时, 需考虑便于现场卸货、搬运和安装。</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6.2.2运输方式：公路汽车运输或由需、供双方协商确定。</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6.2.3 在设备启运时, 供方应以最快捷的方式通知需方以下内容:</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(1) 设备名称;</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(2) 件数、件号、重量;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(3) 合同号;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(4) 货运单号;</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(5) 达到港（站）;</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 设备发出日期。</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t xml:space="preserve">6.2.4设备运抵后供方收到需方通知的五天内，供方必须派人免费进行现场指导安装、调试及操作培训，所需器械和仪表由供方自行解决，并保证设备的安装质量。</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szCs w:val="21"/>
        </w:rPr>
      </w:r>
      <w:r/>
    </w:p>
    <w:p>
      <w:pPr>
        <w:pStyle w:val="1044"/>
        <w:spacing w:line="440" w:lineRule="exact"/>
        <w:rPr>
          <w:rFonts w:hint="eastAsia" w:ascii="微软雅黑" w:hAnsi="微软雅黑" w:cs="微软雅黑"/>
          <w:b/>
          <w:szCs w:val="21"/>
        </w:rPr>
        <w:outlineLvl w:val="1"/>
      </w:pPr>
      <w:r>
        <w:rPr>
          <w:rFonts w:hint="eastAsia" w:ascii="微软雅黑" w:hAnsi="微软雅黑" w:cs="微软雅黑"/>
          <w:b/>
          <w:szCs w:val="21"/>
        </w:rPr>
        <w:t xml:space="preserve">7  质量验收</w:t>
      </w:r>
      <w:r>
        <w:rPr>
          <w:rFonts w:hint="eastAsia" w:ascii="微软雅黑" w:hAnsi="微软雅黑" w:cs="微软雅黑"/>
          <w:b/>
          <w:szCs w:val="21"/>
        </w:rPr>
      </w:r>
      <w:r/>
    </w:p>
    <w:p>
      <w:pPr>
        <w:pStyle w:val="1044"/>
        <w:ind w:firstLine="420"/>
        <w:spacing w:line="440" w:lineRule="exact"/>
        <w:rPr>
          <w:rFonts w:hint="eastAsia" w:ascii="微软雅黑" w:hAnsi="微软雅黑" w:cs="微软雅黑"/>
          <w:szCs w:val="21"/>
        </w:rPr>
        <w:outlineLvl w:val="1"/>
      </w:pPr>
      <w:r>
        <w:rPr>
          <w:rFonts w:hint="eastAsia" w:ascii="微软雅黑" w:hAnsi="微软雅黑" w:cs="微软雅黑"/>
          <w:color w:val="000000"/>
          <w:szCs w:val="21"/>
        </w:rPr>
        <w:t xml:space="preserve">7.1设备制造单位应保证产品制造过程中的所有工艺，元器件（包括供方的外包件在内）及试验等均应符合本原则的要求。</w:t>
      </w:r>
      <w:r>
        <w:rPr>
          <w:rFonts w:hint="eastAsia" w:ascii="微软雅黑" w:hAnsi="微软雅黑" w:cs="微软雅黑"/>
          <w:szCs w:val="21"/>
        </w:rPr>
      </w:r>
      <w:r/>
    </w:p>
    <w:p>
      <w:pPr>
        <w:pStyle w:val="1044"/>
        <w:ind w:firstLine="420"/>
        <w:spacing w:line="440" w:lineRule="exact"/>
        <w:rPr>
          <w:rFonts w:hint="eastAsia" w:ascii="微软雅黑" w:hAnsi="微软雅黑" w:cs="微软雅黑"/>
          <w:color w:val="000000"/>
          <w:szCs w:val="21"/>
        </w:rPr>
        <w:outlineLvl w:val="1"/>
      </w:pPr>
      <w:r>
        <w:rPr>
          <w:rFonts w:hint="eastAsia" w:ascii="微软雅黑" w:hAnsi="微软雅黑" w:cs="微软雅黑"/>
          <w:color w:val="000000"/>
          <w:szCs w:val="21"/>
        </w:rPr>
        <w:t xml:space="preserve">7.2 </w:t>
      </w:r>
      <w:r>
        <w:rPr>
          <w:rFonts w:hint="eastAsia" w:ascii="微软雅黑" w:hAnsi="微软雅黑" w:cs="微软雅黑"/>
          <w:color w:val="000000"/>
          <w:szCs w:val="21"/>
          <w:lang w:eastAsia="zh-CN"/>
        </w:rPr>
        <w:t xml:space="preserve">发包人</w:t>
      </w:r>
      <w:r>
        <w:rPr>
          <w:rFonts w:hint="eastAsia" w:ascii="微软雅黑" w:hAnsi="微软雅黑" w:cs="微软雅黑"/>
          <w:color w:val="000000"/>
          <w:szCs w:val="21"/>
        </w:rPr>
        <w:t xml:space="preserve">有权对正在制造或制造完毕的产品，选择一定数量，进行抽查测试，检测产品质量或验证供应商试验的真实性，</w:t>
      </w:r>
      <w:r>
        <w:rPr>
          <w:rFonts w:hint="eastAsia" w:ascii="微软雅黑" w:hAnsi="微软雅黑" w:cs="微软雅黑"/>
          <w:color w:val="000000"/>
          <w:szCs w:val="21"/>
          <w:lang w:eastAsia="zh-CN"/>
        </w:rPr>
        <w:t xml:space="preserve">承包人</w:t>
      </w:r>
      <w:r>
        <w:rPr>
          <w:rFonts w:hint="eastAsia" w:ascii="微软雅黑" w:hAnsi="微软雅黑" w:cs="微软雅黑"/>
          <w:color w:val="000000"/>
          <w:szCs w:val="21"/>
        </w:rPr>
        <w:t xml:space="preserve">应配合</w:t>
      </w:r>
      <w:r>
        <w:rPr>
          <w:rFonts w:hint="eastAsia" w:ascii="微软雅黑" w:hAnsi="微软雅黑" w:cs="微软雅黑"/>
          <w:color w:val="000000"/>
          <w:szCs w:val="21"/>
          <w:lang w:eastAsia="zh-CN"/>
        </w:rPr>
        <w:t xml:space="preserve">发包人</w:t>
      </w:r>
      <w:r>
        <w:rPr>
          <w:rFonts w:hint="eastAsia" w:ascii="微软雅黑" w:hAnsi="微软雅黑" w:cs="微软雅黑"/>
          <w:color w:val="000000"/>
          <w:szCs w:val="21"/>
        </w:rPr>
        <w:t xml:space="preserve">方做好抽查测试。</w:t>
      </w:r>
      <w:r>
        <w:rPr>
          <w:rFonts w:hint="eastAsia" w:ascii="微软雅黑" w:hAnsi="微软雅黑" w:cs="微软雅黑"/>
          <w:color w:val="000000"/>
          <w:szCs w:val="21"/>
        </w:rPr>
      </w:r>
      <w:r/>
    </w:p>
    <w:p>
      <w:pPr>
        <w:pStyle w:val="1044"/>
        <w:ind w:firstLine="420"/>
        <w:spacing w:line="440" w:lineRule="exact"/>
        <w:rPr>
          <w:rFonts w:hint="eastAsia" w:ascii="微软雅黑" w:hAnsi="微软雅黑" w:cs="微软雅黑"/>
          <w:color w:val="000000"/>
          <w:szCs w:val="21"/>
        </w:rPr>
        <w:outlineLvl w:val="1"/>
      </w:pPr>
      <w:r>
        <w:rPr>
          <w:rFonts w:hint="eastAsia" w:ascii="微软雅黑" w:hAnsi="微软雅黑" w:cs="微软雅黑"/>
          <w:color w:val="000000"/>
          <w:szCs w:val="21"/>
        </w:rPr>
        <w:t xml:space="preserve">7.3  若有合同设备经检验和抽检不符合技术规范的要求，</w:t>
      </w:r>
      <w:r>
        <w:rPr>
          <w:rFonts w:hint="eastAsia" w:ascii="微软雅黑" w:hAnsi="微软雅黑" w:cs="微软雅黑"/>
          <w:color w:val="000000"/>
          <w:szCs w:val="21"/>
          <w:lang w:eastAsia="zh-CN"/>
        </w:rPr>
        <w:t xml:space="preserve">发包人</w:t>
      </w:r>
      <w:r>
        <w:rPr>
          <w:rFonts w:hint="eastAsia" w:ascii="微软雅黑" w:hAnsi="微软雅黑" w:cs="微软雅黑"/>
          <w:color w:val="000000"/>
          <w:szCs w:val="21"/>
        </w:rPr>
        <w:t xml:space="preserve">可以拒收。</w:t>
      </w:r>
      <w:r>
        <w:rPr>
          <w:rFonts w:hint="eastAsia" w:ascii="微软雅黑" w:hAnsi="微软雅黑" w:cs="微软雅黑"/>
          <w:color w:val="000000"/>
          <w:szCs w:val="21"/>
        </w:rPr>
      </w:r>
      <w:r/>
    </w:p>
    <w:p>
      <w:pPr>
        <w:pStyle w:val="1070"/>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044"/>
        <w:spacing w:line="44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045"/>
        <w:pageBreakBefore/>
        <w:rPr>
          <w:rFonts w:hint="eastAsia" w:ascii="微软雅黑" w:hAnsi="微软雅黑" w:cs="微软雅黑"/>
        </w:rPr>
      </w:pPr>
      <w:r/>
      <w:bookmarkStart w:id="213" w:name="_Toc5374"/>
      <w:r>
        <w:rPr>
          <w:rFonts w:hint="eastAsia" w:ascii="微软雅黑" w:hAnsi="微软雅黑" w:cs="微软雅黑"/>
        </w:rPr>
        <w:t xml:space="preserve">第五章 格式合同</w:t>
      </w:r>
      <w:bookmarkEnd w:id="132"/>
      <w:r/>
      <w:bookmarkEnd w:id="213"/>
      <w:r/>
      <w:bookmarkStart w:id="214" w:name="suppliers_name_one"/>
      <w:r/>
      <w:bookmarkEnd w:id="214"/>
      <w:r/>
      <w:bookmarkStart w:id="215" w:name="suppliers_name"/>
      <w:r/>
      <w:bookmarkEnd w:id="215"/>
      <w:r/>
      <w:bookmarkStart w:id="216" w:name="supplier_relation_name"/>
      <w:r/>
      <w:bookmarkEnd w:id="216"/>
      <w:r/>
      <w:bookmarkStart w:id="217" w:name="purchase_one_start"/>
      <w:r/>
      <w:bookmarkEnd w:id="217"/>
      <w:r/>
      <w:bookmarkStart w:id="218" w:name="purchase_name_one"/>
      <w:r/>
      <w:bookmarkEnd w:id="218"/>
      <w:r/>
      <w:bookmarkStart w:id="219" w:name="purchase_relation_name"/>
      <w:r/>
      <w:bookmarkEnd w:id="219"/>
      <w:r/>
      <w:bookmarkStart w:id="220" w:name="purchase_relation_tel"/>
      <w:r/>
      <w:bookmarkEnd w:id="220"/>
      <w:r/>
      <w:bookmarkStart w:id="221" w:name="supplier_relation_tel"/>
      <w:r/>
      <w:bookmarkEnd w:id="221"/>
      <w:r>
        <w:rPr>
          <w:rFonts w:hint="eastAsia" w:ascii="微软雅黑" w:hAnsi="微软雅黑" w:cs="微软雅黑"/>
        </w:rPr>
      </w:r>
      <w:r/>
    </w:p>
    <w:p>
      <w:pPr>
        <w:pStyle w:val="1046"/>
        <w:spacing w:before="0" w:after="0" w:line="440" w:lineRule="exact"/>
        <w:rPr>
          <w:rFonts w:ascii="微软雅黑" w:hAnsi="微软雅黑" w:cs="微软雅黑"/>
          <w:sz w:val="24"/>
          <w:szCs w:val="24"/>
        </w:rPr>
      </w:pPr>
      <w:r/>
      <w:bookmarkStart w:id="222" w:name="_Toc17754"/>
      <w:r/>
      <w:bookmarkStart w:id="223" w:name="_Toc15150"/>
      <w:r/>
      <w:bookmarkStart w:id="224" w:name="_Toc31618"/>
      <w:r/>
      <w:bookmarkStart w:id="225" w:name="_Toc31252"/>
      <w:r/>
      <w:bookmarkStart w:id="226" w:name="_Toc14567"/>
      <w:r>
        <w:rPr>
          <w:rStyle w:val="1220"/>
          <w:rFonts w:hint="eastAsia" w:ascii="微软雅黑" w:hAnsi="微软雅黑" w:cs="微软雅黑"/>
          <w:sz w:val="24"/>
          <w:szCs w:val="24"/>
        </w:rPr>
        <w:t xml:space="preserve">第一部分 合同协议书</w:t>
      </w:r>
      <w:bookmarkEnd w:id="222"/>
      <w:r/>
      <w:bookmarkEnd w:id="223"/>
      <w:r/>
      <w:bookmarkEnd w:id="224"/>
      <w:r/>
      <w:bookmarkEnd w:id="225"/>
      <w:r/>
      <w:bookmarkEnd w:id="226"/>
      <w:r>
        <w:rPr>
          <w:rFonts w:ascii="微软雅黑" w:hAnsi="微软雅黑" w:cs="微软雅黑"/>
          <w:sz w:val="24"/>
          <w:szCs w:val="24"/>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发包人（全称）：</w:t>
      </w:r>
      <w:r>
        <w:rPr>
          <w:rStyle w:val="1221"/>
          <w:rFonts w:hint="eastAsia" w:ascii="微软雅黑" w:hAnsi="微软雅黑" w:cs="微软雅黑"/>
          <w:szCs w:val="21"/>
          <w:u w:val="single"/>
        </w:rPr>
        <w:t xml:space="preserve">南京医科大学</w:t>
      </w:r>
      <w:r>
        <w:rPr>
          <w:rFonts w:hint="eastAsia" w:ascii="微软雅黑" w:hAnsi="微软雅黑" w:cs="微软雅黑"/>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承包人（全称）：</w:t>
      </w:r>
      <w:r>
        <w:rPr>
          <w:rStyle w:val="1221"/>
          <w:rFonts w:hint="eastAsia" w:ascii="微软雅黑" w:hAnsi="微软雅黑" w:cs="微软雅黑"/>
          <w:szCs w:val="21"/>
          <w:u w:val="single"/>
        </w:rPr>
        <w:t xml:space="preserve">              </w:t>
      </w:r>
      <w:r>
        <w:rPr>
          <w:rStyle w:val="1221"/>
          <w:rFonts w:hint="eastAsia" w:ascii="微软雅黑" w:hAnsi="微软雅黑" w:cs="微软雅黑"/>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Style w:val="1222"/>
          <w:rFonts w:hint="eastAsia" w:ascii="微软雅黑" w:hAnsi="微软雅黑" w:cs="微软雅黑"/>
          <w:color w:val="000000"/>
          <w:szCs w:val="21"/>
        </w:rPr>
        <w:t xml:space="preserve">    根据《中华人民共和国建筑法》、《中华人民共和国民法典》和《反不正当竞争法》及有关法律、法规、规章，按照</w:t>
      </w:r>
      <w:r>
        <w:rPr>
          <w:rStyle w:val="1222"/>
          <w:rFonts w:hint="eastAsia" w:ascii="微软雅黑" w:hAnsi="微软雅黑" w:cs="微软雅黑"/>
          <w:color w:val="000000"/>
          <w:szCs w:val="21"/>
          <w:u w:val="single"/>
        </w:rPr>
        <w:t xml:space="preserve">             </w:t>
      </w:r>
      <w:r>
        <w:rPr>
          <w:rFonts w:hint="eastAsia" w:ascii="微软雅黑" w:hAnsi="微软雅黑" w:cs="微软雅黑"/>
          <w:szCs w:val="21"/>
        </w:rPr>
        <w:t xml:space="preserve">公开招标的情况，</w:t>
      </w:r>
      <w:r>
        <w:rPr>
          <w:rStyle w:val="1222"/>
          <w:rFonts w:hint="eastAsia" w:ascii="微软雅黑" w:hAnsi="微软雅黑" w:cs="微软雅黑"/>
          <w:color w:val="000000"/>
          <w:szCs w:val="21"/>
        </w:rPr>
        <w:t xml:space="preserve">遵循平等、自愿、公平和诚实信用的原则，双方就</w:t>
      </w:r>
      <w:r>
        <w:rPr>
          <w:rStyle w:val="1222"/>
          <w:rFonts w:hint="eastAsia" w:ascii="微软雅黑" w:hAnsi="微软雅黑" w:cs="微软雅黑"/>
          <w:color w:val="000000"/>
          <w:szCs w:val="21"/>
          <w:u w:val="single"/>
        </w:rPr>
        <w:t xml:space="preserve">                    </w:t>
      </w:r>
      <w:r>
        <w:rPr>
          <w:rStyle w:val="1222"/>
          <w:rFonts w:hint="eastAsia" w:ascii="微软雅黑" w:hAnsi="微软雅黑" w:cs="微软雅黑"/>
          <w:color w:val="000000"/>
          <w:szCs w:val="21"/>
        </w:rPr>
        <w:t xml:space="preserve">及有关事项，经充分协商，共同达成如下协议：</w:t>
      </w:r>
      <w:r>
        <w:rPr>
          <w:rFonts w:ascii="微软雅黑" w:hAnsi="微软雅黑" w:cs="微软雅黑"/>
          <w:szCs w:val="21"/>
        </w:rPr>
      </w:r>
      <w:r/>
    </w:p>
    <w:p>
      <w:pPr>
        <w:pStyle w:val="1044"/>
        <w:spacing w:line="440" w:lineRule="exact"/>
        <w:rPr>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   一、工程概况</w:t>
      </w:r>
      <w:r>
        <w:rPr>
          <w:rFonts w:ascii="微软雅黑" w:hAnsi="微软雅黑" w:cs="微软雅黑"/>
          <w:szCs w:val="21"/>
        </w:rPr>
      </w:r>
      <w:r/>
    </w:p>
    <w:p>
      <w:pPr>
        <w:pStyle w:val="1044"/>
        <w:spacing w:line="440" w:lineRule="exact"/>
        <w:rPr>
          <w:rStyle w:val="1221"/>
          <w:rFonts w:ascii="微软雅黑" w:hAnsi="微软雅黑" w:cs="微软雅黑"/>
          <w:szCs w:val="21"/>
        </w:rPr>
      </w:pPr>
      <w:r>
        <w:rPr>
          <w:rStyle w:val="1221"/>
          <w:rFonts w:hint="eastAsia" w:ascii="微软雅黑" w:hAnsi="微软雅黑" w:cs="微软雅黑"/>
          <w:szCs w:val="21"/>
        </w:rPr>
        <w:t xml:space="preserve">    1.工程名称：</w:t>
      </w:r>
      <w:r>
        <w:rPr>
          <w:rStyle w:val="1221"/>
          <w:rFonts w:hint="eastAsia" w:ascii="微软雅黑" w:hAnsi="微软雅黑" w:cs="微软雅黑"/>
          <w:szCs w:val="21"/>
          <w:u w:val="single"/>
        </w:rPr>
        <w:t xml:space="preserve">                </w:t>
      </w:r>
      <w:r>
        <w:rPr>
          <w:rStyle w:val="1221"/>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2.工程地点：</w:t>
      </w:r>
      <w:r>
        <w:rPr>
          <w:rStyle w:val="1221"/>
          <w:rFonts w:hint="eastAsia" w:ascii="微软雅黑" w:hAnsi="微软雅黑" w:cs="微软雅黑"/>
          <w:szCs w:val="21"/>
          <w:u w:val="single"/>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3.工程立项批准文号：</w:t>
      </w:r>
      <w:r>
        <w:rPr>
          <w:rStyle w:val="1222"/>
          <w:rFonts w:hint="eastAsia" w:ascii="微软雅黑" w:hAnsi="微软雅黑" w:cs="微软雅黑"/>
          <w:color w:val="000000"/>
          <w:szCs w:val="21"/>
          <w:u w:val="single"/>
        </w:rPr>
        <w:t xml:space="preserve">  /  </w:t>
      </w:r>
      <w:r>
        <w:rPr>
          <w:rStyle w:val="1222"/>
          <w:rFonts w:hint="eastAsia" w:ascii="微软雅黑" w:hAnsi="微软雅黑" w:cs="微软雅黑"/>
          <w:color w:val="000000"/>
          <w:szCs w:val="21"/>
        </w:rPr>
        <w:t xml:space="preserve">。</w:t>
      </w:r>
      <w:r>
        <w:rPr>
          <w:rStyle w:val="1221"/>
          <w:rFonts w:hint="eastAsia" w:ascii="微软雅黑" w:hAnsi="微软雅黑" w:cs="微软雅黑"/>
          <w:szCs w:val="21"/>
        </w:rPr>
        <w:t xml:space="preserve">    </w:t>
      </w:r>
      <w:r>
        <w:rPr>
          <w:rStyle w:val="1222"/>
          <w:rFonts w:hint="eastAsia" w:ascii="微软雅黑" w:hAnsi="微软雅黑" w:cs="微软雅黑"/>
          <w:color w:val="000000"/>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4.工程内容：</w:t>
      </w:r>
      <w:r>
        <w:rPr>
          <w:rStyle w:val="1221"/>
          <w:rFonts w:hint="eastAsia" w:ascii="微软雅黑" w:hAnsi="微软雅黑" w:cs="微软雅黑"/>
          <w:szCs w:val="21"/>
          <w:u w:val="single"/>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5.工程承包范围：</w:t>
      </w:r>
      <w:r>
        <w:rPr>
          <w:rStyle w:val="1223"/>
          <w:rFonts w:hint="eastAsia" w:ascii="微软雅黑" w:hAnsi="微软雅黑" w:cs="微软雅黑"/>
          <w:color w:val="000000"/>
          <w:szCs w:val="21"/>
        </w:rPr>
        <w:t xml:space="preserve">采购文件、</w:t>
      </w:r>
      <w:r>
        <w:rPr>
          <w:rStyle w:val="1222"/>
          <w:rFonts w:hint="eastAsia" w:ascii="微软雅黑" w:hAnsi="微软雅黑" w:cs="微软雅黑"/>
          <w:color w:val="000000"/>
          <w:szCs w:val="21"/>
          <w:u w:val="single"/>
        </w:rPr>
        <w:t xml:space="preserve">工程量清单所示的所有工程内容。</w:t>
      </w:r>
      <w:r>
        <w:rPr>
          <w:rFonts w:ascii="微软雅黑" w:hAnsi="微软雅黑" w:cs="微软雅黑"/>
          <w:szCs w:val="21"/>
        </w:rPr>
      </w:r>
      <w:r/>
    </w:p>
    <w:p>
      <w:pPr>
        <w:pStyle w:val="1044"/>
        <w:spacing w:line="440" w:lineRule="exact"/>
        <w:rPr>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 二、合同工期</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工期总日历天数：</w:t>
      </w:r>
      <w:r>
        <w:rPr>
          <w:rStyle w:val="1221"/>
          <w:rFonts w:hint="eastAsia" w:ascii="微软雅黑" w:hAnsi="微软雅黑" w:cs="微软雅黑"/>
          <w:szCs w:val="21"/>
          <w:u w:val="single"/>
        </w:rPr>
        <w:t xml:space="preserve">      </w:t>
      </w:r>
      <w:r>
        <w:rPr>
          <w:rStyle w:val="1221"/>
          <w:rFonts w:hint="eastAsia" w:ascii="微软雅黑" w:hAnsi="微软雅黑" w:cs="微软雅黑"/>
          <w:szCs w:val="21"/>
        </w:rPr>
        <w:t xml:space="preserve">天。（具体开工时间以</w:t>
      </w:r>
      <w:r>
        <w:rPr>
          <w:rStyle w:val="1221"/>
          <w:rFonts w:hint="eastAsia" w:ascii="微软雅黑" w:hAnsi="微软雅黑" w:cs="微软雅黑"/>
          <w:szCs w:val="21"/>
          <w:lang w:eastAsia="zh-CN"/>
        </w:rPr>
        <w:t xml:space="preserve">发包人</w:t>
      </w:r>
      <w:r>
        <w:rPr>
          <w:rStyle w:val="1221"/>
          <w:rFonts w:hint="eastAsia" w:ascii="微软雅黑" w:hAnsi="微软雅黑" w:cs="微软雅黑"/>
          <w:szCs w:val="21"/>
        </w:rPr>
        <w:t xml:space="preserve">通知为准）</w:t>
      </w:r>
      <w:r>
        <w:rPr>
          <w:rFonts w:ascii="微软雅黑" w:hAnsi="微软雅黑" w:cs="微软雅黑"/>
          <w:szCs w:val="21"/>
        </w:rPr>
      </w:r>
      <w:r/>
    </w:p>
    <w:p>
      <w:pPr>
        <w:pStyle w:val="1044"/>
        <w:spacing w:line="440" w:lineRule="exact"/>
        <w:rPr>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 三、质量标准和质保期</w:t>
      </w:r>
      <w:r>
        <w:rPr>
          <w:rFonts w:ascii="微软雅黑" w:hAnsi="微软雅黑" w:cs="微软雅黑"/>
          <w:szCs w:val="21"/>
        </w:rPr>
      </w:r>
      <w:r/>
    </w:p>
    <w:p>
      <w:pPr>
        <w:pStyle w:val="1044"/>
        <w:spacing w:line="440" w:lineRule="exact"/>
        <w:rPr>
          <w:rStyle w:val="1222"/>
          <w:rFonts w:ascii="微软雅黑" w:hAnsi="微软雅黑" w:cs="微软雅黑"/>
          <w:color w:val="000000"/>
          <w:szCs w:val="21"/>
        </w:rPr>
      </w:pPr>
      <w:r>
        <w:rPr>
          <w:rStyle w:val="1221"/>
          <w:rFonts w:hint="eastAsia" w:ascii="微软雅黑" w:hAnsi="微软雅黑" w:cs="微软雅黑"/>
          <w:szCs w:val="21"/>
        </w:rPr>
        <w:t xml:space="preserve">    工程质量：</w:t>
      </w:r>
      <w:r>
        <w:rPr>
          <w:rFonts w:hint="eastAsia" w:ascii="微软雅黑" w:hAnsi="微软雅黑" w:cs="微软雅黑"/>
          <w:szCs w:val="21"/>
          <w:u w:val="single"/>
        </w:rPr>
        <w:t xml:space="preserve">符合现行国家最新质量验收标准</w:t>
      </w:r>
      <w:r>
        <w:rPr>
          <w:rFonts w:hint="eastAsia" w:ascii="微软雅黑" w:hAnsi="微软雅黑" w:cs="微软雅黑"/>
          <w:szCs w:val="21"/>
          <w:u w:val="single"/>
          <w:lang w:eastAsia="zh-CN"/>
        </w:rPr>
        <w:t xml:space="preserve">；</w:t>
      </w:r>
      <w:r>
        <w:rPr>
          <w:rFonts w:hint="eastAsia" w:ascii="微软雅黑" w:hAnsi="微软雅黑" w:cs="微软雅黑"/>
          <w:szCs w:val="21"/>
          <w:u w:val="single"/>
          <w:lang w:val="en-US" w:eastAsia="zh-CN"/>
        </w:rPr>
        <w:t xml:space="preserve">承包人提高标准的，按提高后标准实施，增加的费用发包人不另行支付。工程需通过发包人、业主、行政主管部门制定的验收标准且验收合格</w:t>
      </w:r>
      <w:r>
        <w:rPr>
          <w:rStyle w:val="1222"/>
          <w:rFonts w:hint="eastAsia" w:ascii="微软雅黑" w:hAnsi="微软雅黑" w:cs="微软雅黑"/>
          <w:color w:val="000000"/>
          <w:szCs w:val="21"/>
        </w:rPr>
        <w:t xml:space="preserve">。</w:t>
      </w:r>
      <w:r>
        <w:rPr>
          <w:rStyle w:val="1221"/>
          <w:rFonts w:hint="eastAsia" w:ascii="微软雅黑" w:hAnsi="微软雅黑" w:cs="微软雅黑"/>
          <w:szCs w:val="21"/>
        </w:rPr>
        <w:t xml:space="preserve">质保期为验收合格之日起</w:t>
      </w:r>
      <w:r>
        <w:rPr>
          <w:rStyle w:val="1221"/>
          <w:rFonts w:hint="eastAsia" w:ascii="微软雅黑" w:hAnsi="微软雅黑" w:cs="微软雅黑"/>
          <w:szCs w:val="21"/>
          <w:u w:val="single"/>
        </w:rPr>
        <w:t xml:space="preserve">        </w:t>
      </w:r>
      <w:r>
        <w:rPr>
          <w:rStyle w:val="1221"/>
          <w:rFonts w:hint="eastAsia" w:ascii="微软雅黑" w:hAnsi="微软雅黑" w:cs="微软雅黑"/>
          <w:szCs w:val="21"/>
        </w:rPr>
        <w:t xml:space="preserve">年</w:t>
      </w:r>
      <w:r>
        <w:rPr>
          <w:rFonts w:hint="eastAsia" w:ascii="微软雅黑" w:hAnsi="微软雅黑" w:cs="微软雅黑"/>
          <w:bCs/>
          <w:szCs w:val="21"/>
        </w:rPr>
        <w:t xml:space="preserve">。</w:t>
      </w:r>
      <w:r>
        <w:rPr>
          <w:rStyle w:val="1222"/>
          <w:rFonts w:ascii="微软雅黑" w:hAnsi="微软雅黑" w:cs="微软雅黑"/>
          <w:color w:val="000000"/>
          <w:szCs w:val="21"/>
        </w:rPr>
      </w:r>
      <w:r/>
    </w:p>
    <w:p>
      <w:pPr>
        <w:pStyle w:val="1044"/>
        <w:spacing w:line="440" w:lineRule="exact"/>
        <w:rPr>
          <w:rStyle w:val="1221"/>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    四、签约合同价与合同价格形式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1.签约合同价为：        人民币（大写）  (¥    元)；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其中：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（1）安全文明施工费：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人民币（大写）     (¥     元)；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（2）材料和工程设备暂估价金额：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人民币（大写）     (¥     元)；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（3）专业工程暂估价金额：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人民币（大写）     (¥     元)；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（4）暂列金额： </w:t>
      </w:r>
      <w:r>
        <w:rPr>
          <w:rStyle w:val="1221"/>
          <w:rFonts w:ascii="微软雅黑" w:hAnsi="微软雅黑" w:cs="微软雅黑"/>
          <w:szCs w:val="21"/>
        </w:rPr>
      </w:r>
      <w:r/>
    </w:p>
    <w:p>
      <w:pPr>
        <w:pStyle w:val="1044"/>
        <w:ind w:firstLine="420"/>
        <w:spacing w:line="440" w:lineRule="exact"/>
        <w:rPr>
          <w:rStyle w:val="1221"/>
          <w:rFonts w:ascii="微软雅黑" w:hAnsi="微软雅黑" w:cs="微软雅黑"/>
          <w:color w:val="000000"/>
          <w:szCs w:val="21"/>
        </w:rPr>
      </w:pPr>
      <w:r>
        <w:rPr>
          <w:rStyle w:val="1221"/>
          <w:rFonts w:hint="eastAsia" w:ascii="微软雅黑" w:hAnsi="微软雅黑" w:cs="微软雅黑"/>
          <w:color w:val="000000"/>
          <w:szCs w:val="21"/>
        </w:rPr>
        <w:t xml:space="preserve">人民币（大写）</w:t>
      </w:r>
      <w:r>
        <w:rPr>
          <w:rStyle w:val="1221"/>
          <w:rFonts w:hint="eastAsia" w:ascii="微软雅黑" w:hAnsi="微软雅黑" w:cs="微软雅黑"/>
          <w:color w:val="000000"/>
          <w:szCs w:val="21"/>
          <w:lang w:eastAsia="zh-CN"/>
        </w:rPr>
        <w:t xml:space="preserve">：</w:t>
      </w:r>
      <w:r>
        <w:rPr>
          <w:rStyle w:val="1221"/>
          <w:rFonts w:hint="eastAsia" w:ascii="微软雅黑" w:hAnsi="微软雅黑" w:cs="微软雅黑"/>
          <w:color w:val="000000"/>
          <w:szCs w:val="21"/>
          <w:lang w:val="en-US" w:eastAsia="zh-CN"/>
        </w:rPr>
        <w:t xml:space="preserve">叁拾柒万肆仟贰佰贰拾肆元柒角贰分·(¥374224.72元)(含税)。</w:t>
      </w:r>
      <w:r>
        <w:rPr>
          <w:rStyle w:val="1221"/>
          <w:rFonts w:hint="eastAsia" w:ascii="微软雅黑" w:hAnsi="微软雅黑" w:cs="微软雅黑"/>
          <w:color w:val="000000"/>
          <w:szCs w:val="21"/>
        </w:rPr>
        <w:t xml:space="preserve"> </w:t>
      </w:r>
      <w:r>
        <w:rPr>
          <w:rStyle w:val="1221"/>
          <w:rFonts w:ascii="微软雅黑" w:hAnsi="微软雅黑" w:cs="微软雅黑"/>
          <w:color w:val="000000"/>
          <w:szCs w:val="21"/>
        </w:rPr>
      </w:r>
      <w:r/>
    </w:p>
    <w:p>
      <w:pPr>
        <w:pStyle w:val="1044"/>
        <w:ind w:firstLine="42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2.合同价格形式：固定单价合同。</w:t>
      </w:r>
      <w:r>
        <w:rPr>
          <w:rStyle w:val="1221"/>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五、项目经理</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承包人项目经理：</w:t>
      </w:r>
      <w:r>
        <w:rPr>
          <w:rStyle w:val="1221"/>
          <w:rFonts w:hint="eastAsia" w:ascii="微软雅黑" w:hAnsi="微软雅黑" w:cs="微软雅黑"/>
          <w:szCs w:val="21"/>
          <w:u w:val="single"/>
        </w:rPr>
        <w:t xml:space="preserve">             </w:t>
      </w:r>
      <w:r>
        <w:rPr>
          <w:rStyle w:val="1221"/>
          <w:rFonts w:hint="eastAsia" w:ascii="微软雅黑" w:hAnsi="微软雅黑" w:cs="微软雅黑"/>
          <w:szCs w:val="21"/>
        </w:rPr>
        <w:t xml:space="preserve">。</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六、合同文件构成</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本协议书与下列文件一起构成合同文件：</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（1）中标通知书；</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（2）投标函及其附录；</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（3）专用合同条款及其附件；</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（4）通用合同条款；</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（5）技术标准和要求；</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（6）图纸；</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（7）已标价工程量清单或预算书；</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（8）招标文件及附件，投标文件及附件；</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（9）其他合同文件。</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在合同订立及履行过程中形成的与合同有关的文件均构成合同文件组成部分。</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上述各项合同文件包括合同当事人就该项合同文件所作出的补充和修改，属于同一类内容的文件，应以最新签署的为准。专用合同条款及其附件须经合同当事人签字或盖章。</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七、承诺</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1.发包人承诺按照法律规定筹集工程建设资金并按照合同约定的期限和方式支付合同价款。</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2.承包人承诺按照法律规定及合同约定组织完成工程施工，确保工程质量和安全，不进行转包及违法分包，并在缺陷责任期及保修期内承担相应的工程维修责任。</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3.发包人和承包人通过招投标形式签订合同的，双方理解并承诺不再就同一工程另行签订与合同实质性内容相背离的协议。</w:t>
      </w:r>
      <w:r>
        <w:rPr>
          <w:rFonts w:ascii="微软雅黑" w:hAnsi="微软雅黑" w:cs="微软雅黑"/>
          <w:szCs w:val="21"/>
        </w:rPr>
      </w:r>
      <w:r/>
    </w:p>
    <w:p>
      <w:pPr>
        <w:pStyle w:val="1044"/>
        <w:spacing w:line="440" w:lineRule="exact"/>
        <w:rPr>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八、词语含义</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本协议书中词语含义与第二部分通用合同条款中赋予的含义相同。</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九、补充协议</w:t>
      </w:r>
      <w:r>
        <w:rPr>
          <w:rFonts w:ascii="微软雅黑" w:hAnsi="微软雅黑" w:cs="微软雅黑"/>
          <w:szCs w:val="21"/>
        </w:rPr>
      </w:r>
      <w:r/>
    </w:p>
    <w:p>
      <w:pPr>
        <w:pStyle w:val="1044"/>
        <w:spacing w:line="440" w:lineRule="exact"/>
        <w:rPr>
          <w:rFonts w:ascii="微软雅黑" w:hAnsi="微软雅黑" w:cs="微软雅黑"/>
          <w:szCs w:val="21"/>
        </w:rPr>
      </w:pPr>
      <w:r>
        <w:rPr>
          <w:rStyle w:val="1221"/>
          <w:rFonts w:hint="eastAsia" w:ascii="微软雅黑" w:hAnsi="微软雅黑" w:cs="微软雅黑"/>
          <w:szCs w:val="21"/>
        </w:rPr>
        <w:t xml:space="preserve">    合同未尽事宜，合同当事人另行签订补充协议，补充协议是合同的组成部分。</w:t>
      </w:r>
      <w:r>
        <w:rPr>
          <w:rFonts w:ascii="微软雅黑" w:hAnsi="微软雅黑" w:cs="微软雅黑"/>
          <w:szCs w:val="21"/>
        </w:rPr>
      </w:r>
      <w:r/>
    </w:p>
    <w:p>
      <w:pPr>
        <w:pStyle w:val="1044"/>
        <w:spacing w:line="440" w:lineRule="exact"/>
        <w:rPr>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   十、合同生效</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Style w:val="1221"/>
          <w:rFonts w:hint="eastAsia" w:ascii="微软雅黑" w:hAnsi="微软雅黑" w:cs="微软雅黑"/>
          <w:szCs w:val="21"/>
        </w:rPr>
        <w:t xml:space="preserve">本合同自</w:t>
      </w:r>
      <w:r>
        <w:rPr>
          <w:rStyle w:val="1222"/>
          <w:rFonts w:hint="eastAsia" w:ascii="微软雅黑" w:hAnsi="微软雅黑" w:cs="微软雅黑"/>
          <w:color w:val="000000"/>
          <w:szCs w:val="21"/>
          <w:u w:val="single"/>
        </w:rPr>
        <w:t xml:space="preserve">双方法定代表人或委托代理人签字并加盖公章后</w:t>
      </w:r>
      <w:r>
        <w:rPr>
          <w:rStyle w:val="1221"/>
          <w:rFonts w:hint="eastAsia" w:ascii="微软雅黑" w:hAnsi="微软雅黑" w:cs="微软雅黑"/>
          <w:szCs w:val="21"/>
        </w:rPr>
        <w:t xml:space="preserve">生效。</w:t>
      </w:r>
      <w:r>
        <w:rPr>
          <w:rFonts w:ascii="微软雅黑" w:hAnsi="微软雅黑" w:cs="微软雅黑"/>
          <w:szCs w:val="21"/>
        </w:rPr>
      </w:r>
      <w:r/>
    </w:p>
    <w:p>
      <w:pPr>
        <w:pStyle w:val="1044"/>
        <w:spacing w:line="440" w:lineRule="exact"/>
        <w:rPr>
          <w:rFonts w:ascii="微软雅黑" w:hAnsi="微软雅黑" w:cs="微软雅黑"/>
          <w:szCs w:val="21"/>
        </w:rPr>
      </w:pPr>
      <w:r>
        <w:rPr>
          <w:rStyle w:val="1224"/>
          <w:rFonts w:hint="eastAsia" w:ascii="微软雅黑" w:hAnsi="微软雅黑" w:cs="微软雅黑"/>
          <w:szCs w:val="21"/>
        </w:rPr>
        <w:t xml:space="preserve"> </w:t>
      </w:r>
      <w:r>
        <w:rPr>
          <w:rStyle w:val="1221"/>
          <w:rFonts w:hint="eastAsia" w:ascii="微软雅黑" w:hAnsi="微软雅黑" w:cs="微软雅黑"/>
          <w:szCs w:val="21"/>
        </w:rPr>
        <w:t xml:space="preserve">    十一、合同份数</w:t>
      </w:r>
      <w:r>
        <w:rPr>
          <w:rFonts w:ascii="微软雅黑" w:hAnsi="微软雅黑" w:cs="微软雅黑"/>
          <w:szCs w:val="21"/>
        </w:rPr>
      </w:r>
      <w:r/>
    </w:p>
    <w:p>
      <w:pPr>
        <w:pStyle w:val="1044"/>
        <w:ind w:firstLine="480"/>
        <w:spacing w:line="440" w:lineRule="exact"/>
        <w:rPr>
          <w:rStyle w:val="1221"/>
          <w:rFonts w:ascii="微软雅黑" w:hAnsi="微软雅黑" w:cs="微软雅黑"/>
          <w:szCs w:val="21"/>
        </w:rPr>
      </w:pPr>
      <w:r>
        <w:rPr>
          <w:rStyle w:val="1221"/>
          <w:rFonts w:hint="eastAsia" w:ascii="微软雅黑" w:hAnsi="微软雅黑" w:cs="微软雅黑"/>
          <w:szCs w:val="21"/>
        </w:rPr>
        <w:t xml:space="preserve">本合同一式</w:t>
      </w:r>
      <w:r>
        <w:rPr>
          <w:rStyle w:val="1217"/>
          <w:rFonts w:hint="eastAsia" w:ascii="微软雅黑" w:hAnsi="微软雅黑" w:eastAsia="微软雅黑" w:cs="微软雅黑"/>
          <w:szCs w:val="21"/>
          <w:u w:val="single"/>
        </w:rPr>
        <w:t xml:space="preserve"> 柒 </w:t>
      </w:r>
      <w:r>
        <w:rPr>
          <w:rStyle w:val="1221"/>
          <w:rFonts w:hint="eastAsia" w:ascii="微软雅黑" w:hAnsi="微软雅黑" w:cs="微软雅黑"/>
          <w:szCs w:val="21"/>
        </w:rPr>
        <w:t xml:space="preserve">份，均具有同等法律效力，发包人执</w:t>
      </w:r>
      <w:r>
        <w:rPr>
          <w:rStyle w:val="1217"/>
          <w:rFonts w:hint="eastAsia" w:ascii="微软雅黑" w:hAnsi="微软雅黑" w:eastAsia="微软雅黑" w:cs="微软雅黑"/>
          <w:szCs w:val="21"/>
          <w:u w:val="single"/>
        </w:rPr>
        <w:t xml:space="preserve"> 伍 </w:t>
      </w:r>
      <w:r>
        <w:rPr>
          <w:rStyle w:val="1221"/>
          <w:rFonts w:hint="eastAsia" w:ascii="微软雅黑" w:hAnsi="微软雅黑" w:cs="微软雅黑"/>
          <w:szCs w:val="21"/>
        </w:rPr>
        <w:t xml:space="preserve">份，承包人执</w:t>
      </w:r>
      <w:r>
        <w:rPr>
          <w:rStyle w:val="1217"/>
          <w:rFonts w:hint="eastAsia" w:ascii="微软雅黑" w:hAnsi="微软雅黑" w:eastAsia="微软雅黑" w:cs="微软雅黑"/>
          <w:szCs w:val="21"/>
          <w:u w:val="single"/>
        </w:rPr>
        <w:t xml:space="preserve"> 贰 </w:t>
      </w:r>
      <w:r>
        <w:rPr>
          <w:rStyle w:val="1221"/>
          <w:rFonts w:hint="eastAsia" w:ascii="微软雅黑" w:hAnsi="微软雅黑" w:cs="微软雅黑"/>
          <w:szCs w:val="21"/>
        </w:rPr>
        <w:t xml:space="preserve">份。</w:t>
      </w:r>
      <w:r>
        <w:rPr>
          <w:rStyle w:val="1221"/>
          <w:rFonts w:ascii="微软雅黑" w:hAnsi="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hint="eastAsia" w:ascii="微软雅黑" w:hAnsi="微软雅黑" w:cs="微软雅黑"/>
          <w:szCs w:val="21"/>
        </w:rPr>
        <w:t xml:space="preserve">发包人</w:t>
      </w:r>
      <w:r>
        <w:rPr>
          <w:rStyle w:val="1217"/>
          <w:rFonts w:hint="eastAsia" w:ascii="微软雅黑" w:hAnsi="微软雅黑" w:eastAsia="微软雅黑" w:cs="微软雅黑"/>
          <w:szCs w:val="21"/>
        </w:rPr>
        <w:t xml:space="preserve">（盖章）：南京医科大学         </w:t>
      </w:r>
      <w:r>
        <w:rPr>
          <w:rStyle w:val="1217"/>
          <w:rFonts w:hint="eastAsia" w:ascii="微软雅黑" w:hAnsi="微软雅黑" w:cs="微软雅黑"/>
          <w:szCs w:val="21"/>
        </w:rPr>
        <w:t xml:space="preserve">  承包人</w:t>
      </w:r>
      <w:r>
        <w:rPr>
          <w:rStyle w:val="1217"/>
          <w:rFonts w:hint="eastAsia" w:ascii="微软雅黑" w:hAnsi="微软雅黑" w:eastAsia="微软雅黑" w:cs="微软雅黑"/>
          <w:szCs w:val="21"/>
        </w:rPr>
        <w:t xml:space="preserve">（盖章）：</w:t>
      </w:r>
      <w:r>
        <w:rPr>
          <w:rStyle w:val="1217"/>
          <w:rFonts w:ascii="微软雅黑" w:hAnsi="微软雅黑" w:eastAsia="微软雅黑" w:cs="微软雅黑"/>
          <w:szCs w:val="21"/>
        </w:rPr>
      </w:r>
      <w:r/>
    </w:p>
    <w:p>
      <w:pPr>
        <w:pStyle w:val="1044"/>
        <w:ind w:left="4200" w:hanging="3780"/>
        <w:spacing w:line="440" w:lineRule="exact"/>
        <w:rPr>
          <w:rStyle w:val="1217"/>
          <w:rFonts w:ascii="微软雅黑" w:hAnsi="微软雅黑" w:eastAsia="微软雅黑" w:cs="微软雅黑"/>
          <w:szCs w:val="21"/>
        </w:rPr>
      </w:pPr>
      <w:r>
        <w:rPr>
          <w:rStyle w:val="1217"/>
          <w:rFonts w:hint="eastAsia" w:ascii="微软雅黑" w:hAnsi="微软雅黑" w:eastAsia="微软雅黑" w:cs="微软雅黑"/>
          <w:szCs w:val="21"/>
        </w:rPr>
        <w:t xml:space="preserve">地址：江宁区龙眠大道101号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地址：</w:t>
      </w:r>
      <w:r>
        <w:rPr>
          <w:rStyle w:val="1217"/>
          <w:rFonts w:ascii="微软雅黑" w:hAnsi="微软雅黑" w:eastAsia="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hint="eastAsia" w:ascii="微软雅黑" w:hAnsi="微软雅黑" w:eastAsia="微软雅黑" w:cs="微软雅黑"/>
          <w:szCs w:val="21"/>
        </w:rPr>
        <w:t xml:space="preserve">电话：025-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电话：</w:t>
      </w:r>
      <w:r>
        <w:rPr>
          <w:rStyle w:val="1217"/>
          <w:rFonts w:ascii="微软雅黑" w:hAnsi="微软雅黑" w:eastAsia="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hint="eastAsia" w:ascii="微软雅黑" w:hAnsi="微软雅黑" w:eastAsia="微软雅黑" w:cs="微软雅黑"/>
          <w:szCs w:val="21"/>
        </w:rPr>
        <w:t xml:space="preserve">代表签字：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代表签字：</w:t>
      </w:r>
      <w:r>
        <w:rPr>
          <w:rStyle w:val="1217"/>
          <w:rFonts w:ascii="微软雅黑" w:hAnsi="微软雅黑" w:eastAsia="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hint="eastAsia" w:ascii="微软雅黑" w:hAnsi="微软雅黑" w:eastAsia="微软雅黑" w:cs="微软雅黑"/>
          <w:szCs w:val="21"/>
        </w:rPr>
        <w:t xml:space="preserve">开户银行：南京市工商银行汉中门支行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开户银行：</w:t>
      </w:r>
      <w:r>
        <w:rPr>
          <w:rStyle w:val="1217"/>
          <w:rFonts w:ascii="微软雅黑" w:hAnsi="微软雅黑" w:eastAsia="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hint="eastAsia" w:ascii="微软雅黑" w:hAnsi="微软雅黑" w:eastAsia="微软雅黑" w:cs="微软雅黑"/>
          <w:szCs w:val="21"/>
        </w:rPr>
        <w:t xml:space="preserve">行号：102301000149                 行号：</w:t>
      </w:r>
      <w:r>
        <w:rPr>
          <w:rStyle w:val="1217"/>
          <w:rFonts w:ascii="微软雅黑" w:hAnsi="微软雅黑" w:eastAsia="微软雅黑" w:cs="微软雅黑"/>
          <w:szCs w:val="21"/>
        </w:rPr>
      </w:r>
      <w:r/>
    </w:p>
    <w:p>
      <w:pPr>
        <w:pStyle w:val="1044"/>
        <w:ind w:firstLine="420"/>
        <w:spacing w:line="440" w:lineRule="exact"/>
        <w:rPr>
          <w:rStyle w:val="1217"/>
          <w:rFonts w:ascii="微软雅黑" w:hAnsi="微软雅黑" w:eastAsia="微软雅黑" w:cs="微软雅黑"/>
          <w:szCs w:val="21"/>
        </w:rPr>
      </w:pPr>
      <w:r>
        <w:rPr>
          <w:rStyle w:val="1217"/>
          <w:rFonts w:hint="eastAsia" w:ascii="微软雅黑" w:hAnsi="微软雅黑" w:eastAsia="微软雅黑" w:cs="微软雅黑"/>
          <w:szCs w:val="21"/>
        </w:rPr>
        <w:t xml:space="preserve">帐号：</w:t>
      </w:r>
      <w:r>
        <w:rPr>
          <w:rStyle w:val="1217"/>
          <w:rFonts w:hint="eastAsia" w:ascii="微软雅黑" w:hAnsi="微软雅黑" w:eastAsia="微软雅黑" w:cs="微软雅黑"/>
          <w:szCs w:val="21"/>
        </w:rPr>
        <w:t xml:space="preserve">4301010109001038622</w:t>
      </w:r>
      <w:r>
        <w:rPr>
          <w:rStyle w:val="1217"/>
          <w:rFonts w:hint="eastAsia" w:ascii="微软雅黑" w:hAnsi="微软雅黑" w:eastAsia="微软雅黑" w:cs="微软雅黑"/>
          <w:szCs w:val="21"/>
        </w:rPr>
        <w:t xml:space="preserve">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帐号：</w:t>
      </w:r>
      <w:r>
        <w:rPr>
          <w:rStyle w:val="1217"/>
          <w:rFonts w:ascii="微软雅黑" w:hAnsi="微软雅黑" w:eastAsia="微软雅黑" w:cs="微软雅黑"/>
          <w:szCs w:val="21"/>
        </w:rPr>
      </w:r>
      <w:r/>
    </w:p>
    <w:p>
      <w:pPr>
        <w:pStyle w:val="1070"/>
        <w:ind w:left="0" w:firstLine="420"/>
        <w:spacing w:line="440" w:lineRule="exact"/>
        <w:rPr>
          <w:rFonts w:ascii="微软雅黑" w:hAnsi="微软雅黑" w:cs="微软雅黑"/>
          <w:szCs w:val="21"/>
        </w:rPr>
      </w:pPr>
      <w:r>
        <w:rPr>
          <w:rStyle w:val="1217"/>
          <w:rFonts w:hint="eastAsia" w:ascii="微软雅黑" w:hAnsi="微软雅黑" w:eastAsia="微软雅黑" w:cs="微软雅黑"/>
          <w:szCs w:val="21"/>
        </w:rPr>
        <w:t xml:space="preserve">日期：                             </w:t>
      </w:r>
      <w:r>
        <w:rPr>
          <w:rStyle w:val="1217"/>
          <w:rFonts w:hint="eastAsia" w:ascii="微软雅黑" w:hAnsi="微软雅黑" w:cs="微软雅黑"/>
          <w:szCs w:val="21"/>
        </w:rPr>
        <w:t xml:space="preserve">  </w:t>
      </w:r>
      <w:r>
        <w:rPr>
          <w:rStyle w:val="1217"/>
          <w:rFonts w:hint="eastAsia" w:ascii="微软雅黑" w:hAnsi="微软雅黑" w:eastAsia="微软雅黑" w:cs="微软雅黑"/>
          <w:szCs w:val="21"/>
        </w:rPr>
        <w:t xml:space="preserve">日期：</w:t>
      </w:r>
      <w:r>
        <w:rPr>
          <w:rStyle w:val="1222"/>
          <w:rFonts w:hint="eastAsia" w:ascii="微软雅黑" w:hAnsi="微软雅黑" w:cs="微软雅黑"/>
          <w:color w:val="000000"/>
          <w:szCs w:val="21"/>
        </w:rPr>
        <w:t xml:space="preserve">     </w:t>
      </w:r>
      <w:r>
        <w:rPr>
          <w:rFonts w:ascii="微软雅黑" w:hAnsi="微软雅黑" w:cs="微软雅黑"/>
          <w:szCs w:val="21"/>
        </w:rPr>
      </w:r>
      <w:r/>
    </w:p>
    <w:p>
      <w:pPr>
        <w:pStyle w:val="1044"/>
        <w:spacing w:line="440" w:lineRule="exact"/>
        <w:rPr>
          <w:rStyle w:val="1222"/>
          <w:rFonts w:ascii="微软雅黑" w:hAnsi="微软雅黑" w:cs="微软雅黑"/>
          <w:color w:val="000000"/>
          <w:szCs w:val="21"/>
        </w:rPr>
      </w:pPr>
      <w:r>
        <w:rPr>
          <w:rStyle w:val="1222"/>
          <w:rFonts w:hint="eastAsia" w:ascii="微软雅黑" w:hAnsi="微软雅黑" w:cs="微软雅黑"/>
          <w:color w:val="000000"/>
          <w:szCs w:val="21"/>
        </w:rPr>
        <w:t xml:space="preserve">                     </w:t>
      </w:r>
      <w:r>
        <w:rPr>
          <w:rStyle w:val="1222"/>
          <w:rFonts w:ascii="微软雅黑" w:hAnsi="微软雅黑" w:cs="微软雅黑"/>
          <w:color w:val="000000"/>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44"/>
        <w:spacing w:line="440" w:lineRule="exact"/>
        <w:rPr>
          <w:rStyle w:val="1220"/>
          <w:rFonts w:ascii="微软雅黑" w:hAnsi="微软雅黑" w:cs="微软雅黑"/>
          <w:sz w:val="21"/>
          <w:szCs w:val="21"/>
        </w:rPr>
      </w:pPr>
      <w:r>
        <w:rPr>
          <w:rStyle w:val="1220"/>
          <w:rFonts w:hint="eastAsia" w:ascii="微软雅黑" w:hAnsi="微软雅黑" w:cs="微软雅黑"/>
          <w:sz w:val="21"/>
          <w:szCs w:val="21"/>
        </w:rPr>
        <w:br w:type="page" w:clear="all"/>
      </w:r>
      <w:r>
        <w:rPr>
          <w:rStyle w:val="1220"/>
          <w:rFonts w:ascii="微软雅黑" w:hAnsi="微软雅黑" w:cs="微软雅黑"/>
          <w:sz w:val="21"/>
          <w:szCs w:val="21"/>
        </w:rPr>
      </w:r>
      <w:r/>
    </w:p>
    <w:p>
      <w:pPr>
        <w:pStyle w:val="1046"/>
        <w:spacing w:before="0" w:after="0" w:line="440" w:lineRule="exact"/>
        <w:rPr>
          <w:rStyle w:val="1220"/>
          <w:rFonts w:ascii="微软雅黑" w:hAnsi="微软雅黑" w:cs="微软雅黑"/>
          <w:sz w:val="21"/>
          <w:szCs w:val="21"/>
        </w:rPr>
      </w:pPr>
      <w:r/>
      <w:bookmarkStart w:id="227" w:name="_Toc28433"/>
      <w:r/>
      <w:bookmarkStart w:id="228" w:name="_Toc19227"/>
      <w:r>
        <w:rPr>
          <w:rStyle w:val="1220"/>
          <w:rFonts w:hint="eastAsia" w:ascii="微软雅黑" w:hAnsi="微软雅黑" w:cs="微软雅黑"/>
          <w:sz w:val="21"/>
          <w:szCs w:val="21"/>
        </w:rPr>
        <w:t xml:space="preserve">第二部分  合同通用条款</w:t>
      </w:r>
      <w:bookmarkEnd w:id="227"/>
      <w:r/>
      <w:bookmarkEnd w:id="228"/>
      <w:r>
        <w:rPr>
          <w:rStyle w:val="1220"/>
          <w:rFonts w:ascii="微软雅黑" w:hAnsi="微软雅黑" w:cs="微软雅黑"/>
          <w:sz w:val="21"/>
          <w:szCs w:val="21"/>
        </w:rPr>
      </w:r>
      <w:r/>
    </w:p>
    <w:p>
      <w:pPr>
        <w:pStyle w:val="1044"/>
        <w:ind w:firstLine="525"/>
        <w:spacing w:line="440" w:lineRule="exact"/>
        <w:rPr>
          <w:rFonts w:ascii="微软雅黑" w:hAnsi="微软雅黑" w:cs="微软雅黑"/>
          <w:szCs w:val="21"/>
        </w:rPr>
      </w:pPr>
      <w:r>
        <w:rPr>
          <w:rFonts w:hint="eastAsia" w:ascii="微软雅黑" w:hAnsi="微软雅黑" w:cs="微软雅黑"/>
          <w:szCs w:val="21"/>
        </w:rPr>
        <w:t xml:space="preserve">此部分采用《建设工程施工合同》范本（GF-2017-0201）中《第二部分  通用条款》</w:t>
      </w:r>
      <w:r>
        <w:rPr>
          <w:rFonts w:ascii="微软雅黑" w:hAnsi="微软雅黑" w:cs="微软雅黑"/>
          <w:szCs w:val="21"/>
        </w:rPr>
      </w:r>
      <w:r/>
    </w:p>
    <w:p>
      <w:pPr>
        <w:pStyle w:val="1044"/>
        <w:ind w:firstLine="420"/>
        <w:spacing w:line="440" w:lineRule="exact"/>
        <w:tabs>
          <w:tab w:val="left" w:pos="1440" w:leader="none"/>
        </w:tabs>
        <w:rPr>
          <w:rFonts w:ascii="微软雅黑" w:hAnsi="微软雅黑" w:cs="微软雅黑"/>
          <w:szCs w:val="21"/>
        </w:rPr>
      </w:pPr>
      <w:r>
        <w:rPr>
          <w:rFonts w:ascii="微软雅黑" w:hAnsi="微软雅黑" w:cs="微软雅黑"/>
          <w:szCs w:val="21"/>
        </w:rPr>
      </w:r>
      <w:r/>
    </w:p>
    <w:p>
      <w:pPr>
        <w:pStyle w:val="1046"/>
        <w:spacing w:before="0" w:after="0" w:line="440" w:lineRule="exact"/>
        <w:rPr>
          <w:rFonts w:ascii="微软雅黑" w:hAnsi="微软雅黑" w:cs="微软雅黑"/>
          <w:sz w:val="21"/>
          <w:szCs w:val="21"/>
        </w:rPr>
      </w:pPr>
      <w:r/>
      <w:bookmarkStart w:id="229" w:name="_Toc18549"/>
      <w:r/>
      <w:bookmarkStart w:id="230" w:name="_Toc15113"/>
      <w:r>
        <w:rPr>
          <w:rStyle w:val="1220"/>
          <w:rFonts w:hint="eastAsia" w:ascii="微软雅黑" w:hAnsi="微软雅黑" w:cs="微软雅黑"/>
          <w:sz w:val="21"/>
          <w:szCs w:val="21"/>
        </w:rPr>
        <w:t xml:space="preserve">第三部分 合同专用条款</w:t>
      </w:r>
      <w:bookmarkEnd w:id="229"/>
      <w:r/>
      <w:bookmarkEnd w:id="230"/>
      <w:r>
        <w:rPr>
          <w:rFonts w:ascii="微软雅黑" w:hAnsi="微软雅黑" w:cs="微软雅黑"/>
          <w:sz w:val="21"/>
          <w:szCs w:val="21"/>
        </w:rPr>
      </w:r>
      <w:r/>
    </w:p>
    <w:p>
      <w:pPr>
        <w:pStyle w:val="1047"/>
        <w:spacing w:before="0" w:after="0" w:line="440" w:lineRule="exact"/>
        <w:rPr>
          <w:rFonts w:ascii="微软雅黑" w:hAnsi="微软雅黑" w:cs="微软雅黑"/>
          <w:sz w:val="21"/>
          <w:szCs w:val="21"/>
        </w:rPr>
      </w:pPr>
      <w:r/>
      <w:bookmarkStart w:id="231" w:name="_Toc25357"/>
      <w:r/>
      <w:bookmarkStart w:id="232" w:name="_Toc22177"/>
      <w:r>
        <w:rPr>
          <w:rFonts w:hint="eastAsia" w:ascii="微软雅黑" w:hAnsi="微软雅黑" w:cs="微软雅黑"/>
          <w:sz w:val="21"/>
          <w:szCs w:val="21"/>
        </w:rPr>
        <w:t xml:space="preserve">1 一般约定</w:t>
      </w:r>
      <w:bookmarkEnd w:id="231"/>
      <w:r/>
      <w:bookmarkEnd w:id="232"/>
      <w:r>
        <w:rPr>
          <w:rFonts w:ascii="微软雅黑" w:hAnsi="微软雅黑" w:cs="微软雅黑"/>
          <w:sz w:val="21"/>
          <w:szCs w:val="21"/>
        </w:rPr>
      </w:r>
      <w:r/>
    </w:p>
    <w:p>
      <w:pPr>
        <w:pStyle w:val="1044"/>
        <w:ind w:firstLine="412"/>
        <w:spacing w:line="440" w:lineRule="exact"/>
        <w:rPr>
          <w:rFonts w:ascii="微软雅黑" w:hAnsi="微软雅黑" w:cs="微软雅黑"/>
          <w:b/>
          <w:szCs w:val="21"/>
        </w:rPr>
      </w:pPr>
      <w:r>
        <w:rPr>
          <w:rFonts w:hint="eastAsia" w:ascii="微软雅黑" w:hAnsi="微软雅黑" w:cs="微软雅黑"/>
          <w:b/>
          <w:szCs w:val="21"/>
        </w:rPr>
        <w:t xml:space="preserve">1.1 合同文件的优先顺序</w:t>
      </w:r>
      <w:r>
        <w:rPr>
          <w:rFonts w:ascii="微软雅黑" w:hAnsi="微软雅黑" w:cs="微软雅黑"/>
          <w:b/>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组成本合同的文件及优先解释顺序如下：</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1、本合同协议书；</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2、中标通知书；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3、本合同专用条款；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4、本合同通用条款；</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5、标准、规范及有关技术文件；</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6、工程量清单；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7、招投标文件及其附件（含：承包人投标过程所作承诺）；</w:t>
      </w:r>
      <w:r>
        <w:rPr>
          <w:rFonts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8、合同履行中，发包人承包人有关工程的洽商、变更等书面协议或文件视为本合同的组成。 </w:t>
      </w: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1.2知识产权</w:t>
      </w:r>
      <w:r>
        <w:rPr>
          <w:rFonts w:hint="eastAsia" w:ascii="微软雅黑" w:hAnsi="微软雅黑" w:cs="微软雅黑"/>
          <w:szCs w:val="21"/>
          <w:lang w:val="en-US" w:eastAsia="zh-CN"/>
        </w:rPr>
      </w:r>
      <w:r/>
    </w:p>
    <w:p>
      <w:pPr>
        <w:pStyle w:val="1044"/>
        <w:ind w:firstLine="420"/>
        <w:spacing w:line="440" w:lineRule="exact"/>
        <w:rPr>
          <w:rFonts w:ascii="微软雅黑" w:hAnsi="微软雅黑" w:cs="微软雅黑"/>
          <w:szCs w:val="21"/>
          <w:lang w:val="en-US" w:eastAsia="zh-CN"/>
        </w:rPr>
      </w:pPr>
      <w:r>
        <w:rPr>
          <w:rFonts w:ascii="微软雅黑" w:hAnsi="微软雅黑" w:cs="微软雅黑"/>
          <w:szCs w:val="21"/>
          <w:lang w:val="en-US" w:eastAsia="zh-CN"/>
        </w:rPr>
        <w:t xml:space="preserve">由发包人(或以发包人名义)编制的《发包人要求》、设计文件、技术资料及其他与本工程相关的文件的著作权、知识产权均归发包人所有。承包人仅可在履行本合同的范围内使用上述文件，不得擅自复制、向第三方披露或用于本合同之外的其他项目。承包人因施工产生的与本工程相关的技术成果，如未使用发包人物质技术条件的，归承包人所有</w:t>
      </w:r>
      <w:r>
        <w:rPr>
          <w:rFonts w:hint="eastAsia" w:ascii="微软雅黑" w:hAnsi="微软雅黑" w:cs="微软雅黑"/>
          <w:szCs w:val="21"/>
          <w:lang w:val="en-US" w:eastAsia="zh-CN"/>
        </w:rPr>
        <w:t xml:space="preserve">；</w:t>
      </w:r>
      <w:r>
        <w:rPr>
          <w:rFonts w:ascii="微软雅黑" w:hAnsi="微软雅黑" w:cs="微软雅黑"/>
          <w:szCs w:val="21"/>
          <w:lang w:val="en-US" w:eastAsia="zh-CN"/>
        </w:rPr>
        <w:t xml:space="preserve">如使用发包人物质技术条件的，归发包人所有，承包人可在同等条件下享有优先使用权。</w:t>
      </w:r>
      <w:r>
        <w:rPr>
          <w:rFonts w:ascii="微软雅黑" w:hAnsi="微软雅黑" w:cs="微软雅黑"/>
          <w:szCs w:val="21"/>
          <w:lang w:val="en-US" w:eastAsia="zh-CN"/>
        </w:rPr>
      </w:r>
      <w:r/>
    </w:p>
    <w:p>
      <w:pPr>
        <w:pStyle w:val="1047"/>
        <w:spacing w:before="0" w:after="0" w:line="440" w:lineRule="exact"/>
        <w:rPr>
          <w:rFonts w:ascii="微软雅黑" w:hAnsi="微软雅黑" w:cs="微软雅黑"/>
          <w:sz w:val="21"/>
          <w:szCs w:val="21"/>
        </w:rPr>
      </w:pPr>
      <w:r/>
      <w:bookmarkStart w:id="233" w:name="_Toc4008"/>
      <w:r/>
      <w:bookmarkStart w:id="234" w:name="_Toc13537"/>
      <w:r>
        <w:rPr>
          <w:rFonts w:hint="eastAsia" w:ascii="微软雅黑" w:hAnsi="微软雅黑" w:cs="微软雅黑"/>
          <w:sz w:val="21"/>
          <w:szCs w:val="21"/>
        </w:rPr>
        <w:t xml:space="preserve">2 发包人义务</w:t>
      </w:r>
      <w:bookmarkEnd w:id="233"/>
      <w:r/>
      <w:bookmarkEnd w:id="234"/>
      <w:r>
        <w:rPr>
          <w:rFonts w:ascii="微软雅黑" w:hAnsi="微软雅黑" w:cs="微软雅黑"/>
          <w:sz w:val="21"/>
          <w:szCs w:val="21"/>
        </w:rPr>
      </w:r>
      <w:r/>
    </w:p>
    <w:p>
      <w:pPr>
        <w:pStyle w:val="1044"/>
        <w:ind w:firstLine="412"/>
        <w:spacing w:line="440" w:lineRule="exact"/>
        <w:rPr>
          <w:rFonts w:hint="eastAsia" w:ascii="微软雅黑" w:hAnsi="微软雅黑" w:cs="微软雅黑"/>
          <w:szCs w:val="21"/>
        </w:rPr>
      </w:pPr>
      <w:r>
        <w:rPr>
          <w:rFonts w:hint="eastAsia" w:ascii="微软雅黑" w:hAnsi="微软雅黑" w:cs="微软雅黑"/>
          <w:b/>
          <w:szCs w:val="21"/>
        </w:rPr>
        <w:t xml:space="preserve">2.1 发包人委派的现场人员：</w:t>
      </w:r>
      <w:r>
        <w:rPr>
          <w:rFonts w:hint="eastAsia" w:ascii="微软雅黑" w:hAnsi="微软雅黑" w:cs="微软雅黑"/>
          <w:szCs w:val="21"/>
        </w:rPr>
        <w:t xml:space="preserve"> 姓名：</w:t>
      </w:r>
      <w:r>
        <w:rPr>
          <w:rFonts w:hint="eastAsia" w:ascii="微软雅黑" w:hAnsi="微软雅黑" w:cs="微软雅黑"/>
          <w:szCs w:val="21"/>
          <w:u w:val="single"/>
        </w:rPr>
        <w:t xml:space="preserve">         </w:t>
      </w:r>
      <w:r>
        <w:rPr>
          <w:rFonts w:hint="eastAsia" w:ascii="微软雅黑" w:hAnsi="微软雅黑" w:cs="微软雅黑"/>
          <w:szCs w:val="21"/>
        </w:rPr>
        <w:t xml:space="preserve">。</w:t>
      </w:r>
      <w:r>
        <w:rPr>
          <w:rFonts w:hint="eastAsia" w:ascii="微软雅黑" w:hAnsi="微软雅黑" w:cs="微软雅黑"/>
          <w:szCs w:val="21"/>
        </w:rPr>
      </w:r>
      <w:r/>
    </w:p>
    <w:p>
      <w:pPr>
        <w:pStyle w:val="1044"/>
        <w:ind w:firstLine="411"/>
        <w:spacing w:line="440" w:lineRule="exact"/>
        <w:rPr>
          <w:rFonts w:hint="eastAsia" w:ascii="微软雅黑" w:hAnsi="微软雅黑" w:cs="微软雅黑"/>
          <w:szCs w:val="21"/>
        </w:rPr>
      </w:pPr>
      <w:r>
        <w:rPr>
          <w:rFonts w:hint="eastAsia" w:ascii="微软雅黑" w:hAnsi="微软雅黑" w:cs="微软雅黑"/>
          <w:szCs w:val="21"/>
        </w:rPr>
        <w:t xml:space="preserve">发包人对发包人代表的授权范围如下：</w:t>
      </w:r>
      <w:r>
        <w:rPr>
          <w:rFonts w:hint="eastAsia" w:ascii="微软雅黑" w:hAnsi="微软雅黑" w:cs="微软雅黑"/>
          <w:szCs w:val="21"/>
        </w:rPr>
      </w:r>
      <w:r/>
    </w:p>
    <w:p>
      <w:pPr>
        <w:pStyle w:val="1044"/>
        <w:ind w:firstLine="411"/>
        <w:spacing w:line="440" w:lineRule="exact"/>
        <w:rPr>
          <w:rFonts w:hint="eastAsia" w:ascii="微软雅黑" w:hAnsi="微软雅黑" w:cs="微软雅黑"/>
          <w:szCs w:val="21"/>
        </w:rPr>
      </w:pPr>
      <w:r>
        <w:rPr>
          <w:rFonts w:hint="eastAsia" w:ascii="微软雅黑" w:hAnsi="微软雅黑" w:cs="微软雅黑"/>
          <w:szCs w:val="21"/>
        </w:rPr>
        <w:t xml:space="preserve">（1）确认承包人提出的顺延工期的签证；</w:t>
      </w:r>
      <w:r>
        <w:rPr>
          <w:rFonts w:hint="eastAsia" w:ascii="微软雅黑" w:hAnsi="微软雅黑" w:cs="微软雅黑"/>
          <w:szCs w:val="21"/>
        </w:rPr>
      </w:r>
      <w:r/>
    </w:p>
    <w:p>
      <w:pPr>
        <w:pStyle w:val="1044"/>
        <w:ind w:firstLine="411"/>
        <w:spacing w:line="440" w:lineRule="exact"/>
        <w:rPr>
          <w:rFonts w:hint="eastAsia" w:ascii="微软雅黑" w:hAnsi="微软雅黑" w:cs="微软雅黑"/>
          <w:szCs w:val="21"/>
        </w:rPr>
      </w:pPr>
      <w:r>
        <w:rPr>
          <w:rFonts w:hint="eastAsia" w:ascii="微软雅黑" w:hAnsi="微软雅黑" w:cs="微软雅黑"/>
          <w:szCs w:val="21"/>
        </w:rPr>
        <w:t xml:space="preserve">（2）对发生的不可抗力造成工程无法施工的处置；</w:t>
      </w:r>
      <w:r>
        <w:rPr>
          <w:rFonts w:hint="eastAsia" w:ascii="微软雅黑" w:hAnsi="微软雅黑" w:cs="微软雅黑"/>
          <w:szCs w:val="21"/>
        </w:rPr>
      </w:r>
      <w:r/>
    </w:p>
    <w:p>
      <w:pPr>
        <w:pStyle w:val="1044"/>
        <w:ind w:firstLine="411"/>
        <w:spacing w:line="440" w:lineRule="exact"/>
        <w:rPr>
          <w:rFonts w:hint="eastAsia" w:ascii="微软雅黑" w:hAnsi="微软雅黑" w:cs="微软雅黑"/>
          <w:szCs w:val="21"/>
        </w:rPr>
      </w:pPr>
      <w:r>
        <w:rPr>
          <w:rFonts w:hint="eastAsia" w:ascii="微软雅黑" w:hAnsi="微软雅黑" w:cs="微软雅黑"/>
          <w:szCs w:val="21"/>
        </w:rPr>
        <w:t xml:space="preserve">（3）设计变更及施工条件变更等有关签证的确认；</w:t>
      </w:r>
      <w:r>
        <w:rPr>
          <w:rFonts w:hint="eastAsia" w:ascii="微软雅黑" w:hAnsi="微软雅黑" w:cs="微软雅黑"/>
          <w:szCs w:val="21"/>
        </w:rPr>
      </w:r>
      <w:r/>
    </w:p>
    <w:p>
      <w:pPr>
        <w:pStyle w:val="1044"/>
        <w:ind w:firstLine="411"/>
        <w:spacing w:line="440" w:lineRule="exact"/>
        <w:rPr>
          <w:rFonts w:hint="eastAsia" w:ascii="微软雅黑" w:hAnsi="微软雅黑" w:cs="微软雅黑"/>
          <w:szCs w:val="21"/>
        </w:rPr>
      </w:pPr>
      <w:r>
        <w:rPr>
          <w:rFonts w:hint="eastAsia" w:ascii="微软雅黑" w:hAnsi="微软雅黑" w:cs="微软雅黑"/>
          <w:szCs w:val="21"/>
        </w:rPr>
        <w:t xml:space="preserve">（4）主持工程验收；</w:t>
      </w:r>
      <w:r>
        <w:rPr>
          <w:rFonts w:hint="eastAsia" w:ascii="微软雅黑" w:hAnsi="微软雅黑" w:cs="微软雅黑"/>
          <w:szCs w:val="21"/>
        </w:rPr>
      </w:r>
      <w:r/>
    </w:p>
    <w:p>
      <w:pPr>
        <w:pStyle w:val="1044"/>
        <w:ind w:firstLine="411"/>
        <w:spacing w:line="440" w:lineRule="exact"/>
        <w:rPr>
          <w:rFonts w:hint="eastAsia" w:ascii="微软雅黑" w:hAnsi="微软雅黑" w:cs="微软雅黑"/>
          <w:szCs w:val="21"/>
        </w:rPr>
      </w:pPr>
      <w:r>
        <w:rPr>
          <w:rFonts w:hint="eastAsia" w:ascii="微软雅黑" w:hAnsi="微软雅黑" w:cs="微软雅黑"/>
          <w:szCs w:val="21"/>
        </w:rPr>
        <w:t xml:space="preserve">（5）处理和协调外部施工条件；</w:t>
      </w:r>
      <w:r>
        <w:rPr>
          <w:rFonts w:hint="eastAsia" w:ascii="微软雅黑" w:hAnsi="微软雅黑" w:cs="微软雅黑"/>
          <w:szCs w:val="21"/>
        </w:rPr>
      </w:r>
      <w:r/>
    </w:p>
    <w:p>
      <w:pPr>
        <w:pStyle w:val="1044"/>
        <w:ind w:firstLine="411"/>
        <w:spacing w:line="440" w:lineRule="exact"/>
        <w:rPr>
          <w:rFonts w:ascii="微软雅黑" w:hAnsi="微软雅黑" w:cs="微软雅黑"/>
          <w:b/>
          <w:szCs w:val="21"/>
        </w:rPr>
      </w:pPr>
      <w:r>
        <w:rPr>
          <w:rFonts w:hint="eastAsia" w:ascii="微软雅黑" w:hAnsi="微软雅黑" w:cs="微软雅黑"/>
          <w:szCs w:val="21"/>
        </w:rPr>
        <w:t xml:space="preserve">（6）代表发包人</w:t>
      </w:r>
      <w:r>
        <w:rPr>
          <w:rFonts w:hint="eastAsia" w:ascii="微软雅黑" w:hAnsi="微软雅黑" w:cs="微软雅黑"/>
          <w:szCs w:val="21"/>
          <w:lang w:eastAsia="zh-CN"/>
        </w:rPr>
        <w:t xml:space="preserve">行使</w:t>
      </w:r>
      <w:r>
        <w:rPr>
          <w:rFonts w:hint="eastAsia" w:ascii="微软雅黑" w:hAnsi="微软雅黑" w:cs="微软雅黑"/>
          <w:szCs w:val="21"/>
        </w:rPr>
        <w:t xml:space="preserve">本合同约定的其它权利和义务。  </w:t>
      </w:r>
      <w:r>
        <w:rPr>
          <w:rFonts w:hint="eastAsia" w:ascii="微软雅黑" w:hAnsi="微软雅黑" w:cs="微软雅黑"/>
          <w:b/>
          <w:szCs w:val="21"/>
        </w:rPr>
        <w:t xml:space="preserve">       </w:t>
      </w:r>
      <w:r>
        <w:rPr>
          <w:rFonts w:ascii="微软雅黑" w:hAnsi="微软雅黑" w:cs="微软雅黑"/>
          <w:b/>
          <w:szCs w:val="21"/>
        </w:rPr>
      </w:r>
      <w:r/>
    </w:p>
    <w:p>
      <w:pPr>
        <w:pStyle w:val="1044"/>
        <w:ind w:firstLine="412"/>
        <w:spacing w:line="440" w:lineRule="exact"/>
        <w:rPr>
          <w:rFonts w:ascii="微软雅黑" w:hAnsi="微软雅黑" w:cs="微软雅黑"/>
          <w:b/>
          <w:szCs w:val="21"/>
        </w:rPr>
      </w:pPr>
      <w:r>
        <w:rPr>
          <w:rFonts w:hint="eastAsia" w:ascii="微软雅黑" w:hAnsi="微软雅黑" w:cs="微软雅黑"/>
          <w:b/>
          <w:szCs w:val="21"/>
        </w:rPr>
        <w:t xml:space="preserve">2.2提供施工场地：</w:t>
      </w:r>
      <w:r>
        <w:rPr>
          <w:rFonts w:ascii="微软雅黑" w:hAnsi="微软雅黑" w:cs="微软雅黑"/>
          <w:b/>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发包人提供施工场地的约定：</w:t>
      </w:r>
      <w:r>
        <w:rPr>
          <w:rFonts w:ascii="微软雅黑" w:hAnsi="微软雅黑" w:cs="微软雅黑"/>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（1）施工场地具备施工条件的要求及完成的时间：</w:t>
      </w:r>
      <w:r>
        <w:rPr>
          <w:rFonts w:hint="eastAsia" w:ascii="微软雅黑" w:hAnsi="微软雅黑" w:cs="微软雅黑"/>
          <w:spacing w:val="-6"/>
          <w:szCs w:val="21"/>
          <w:u w:val="single"/>
        </w:rPr>
        <w:t xml:space="preserve">  约定的开工时间前。</w:t>
      </w:r>
      <w:r>
        <w:rPr>
          <w:rFonts w:ascii="微软雅黑" w:hAnsi="微软雅黑" w:cs="微软雅黑"/>
          <w:spacing w:val="-6"/>
          <w:szCs w:val="21"/>
        </w:rPr>
      </w:r>
      <w:r/>
    </w:p>
    <w:p>
      <w:pPr>
        <w:pStyle w:val="1044"/>
        <w:ind w:firstLine="396"/>
        <w:jc w:val="left"/>
        <w:spacing w:line="440" w:lineRule="exact"/>
        <w:rPr>
          <w:rStyle w:val="1221"/>
          <w:rFonts w:ascii="微软雅黑" w:hAnsi="微软雅黑" w:cs="微软雅黑"/>
          <w:szCs w:val="21"/>
        </w:rPr>
      </w:pPr>
      <w:r>
        <w:rPr>
          <w:rFonts w:hint="eastAsia" w:ascii="微软雅黑" w:hAnsi="微软雅黑" w:cs="微软雅黑"/>
          <w:spacing w:val="-6"/>
          <w:szCs w:val="21"/>
        </w:rPr>
        <w:t xml:space="preserve">（2）</w:t>
      </w:r>
      <w:r>
        <w:rPr>
          <w:rStyle w:val="1221"/>
          <w:rFonts w:hint="eastAsia" w:ascii="微软雅黑" w:hAnsi="微软雅黑" w:cs="微软雅黑"/>
          <w:szCs w:val="21"/>
        </w:rPr>
        <w:t xml:space="preserve">施工用水、用电，业主不负责提供，由投标人自行考虑并含在投标报价中，如使用学校水电，根据施工合同条款进行扣除。</w:t>
      </w:r>
      <w:r>
        <w:rPr>
          <w:rStyle w:val="1221"/>
          <w:rFonts w:ascii="微软雅黑" w:hAnsi="微软雅黑" w:cs="微软雅黑"/>
          <w:szCs w:val="21"/>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（3）施工场地与公共道路的通道开通时间和要求：</w:t>
      </w:r>
      <w:r>
        <w:rPr>
          <w:rFonts w:hint="eastAsia" w:ascii="微软雅黑" w:hAnsi="微软雅黑" w:cs="微软雅黑"/>
          <w:spacing w:val="-6"/>
          <w:szCs w:val="21"/>
          <w:u w:val="single"/>
        </w:rPr>
        <w:t xml:space="preserve"> 已开通。</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（4）工程地质和地下管线资料的提供时间：</w:t>
      </w:r>
      <w:r>
        <w:rPr>
          <w:rFonts w:hint="eastAsia" w:ascii="微软雅黑" w:hAnsi="微软雅黑" w:cs="微软雅黑"/>
          <w:spacing w:val="-6"/>
          <w:szCs w:val="21"/>
          <w:u w:val="single"/>
        </w:rPr>
        <w:t xml:space="preserve"> / </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（5）图纸会审和设计交底时间：</w:t>
      </w:r>
      <w:r>
        <w:rPr>
          <w:rFonts w:hint="eastAsia" w:ascii="微软雅黑" w:hAnsi="微软雅黑" w:cs="微软雅黑"/>
          <w:spacing w:val="-6"/>
          <w:szCs w:val="21"/>
          <w:u w:val="single"/>
        </w:rPr>
        <w:t xml:space="preserve"> / </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（6）协调处理施工场地周围地下管线和邻近建筑物、构筑物和环境工程、道路等设施的保护工作：</w:t>
      </w:r>
      <w:r>
        <w:rPr>
          <w:rFonts w:hint="eastAsia" w:ascii="微软雅黑" w:hAnsi="微软雅黑" w:cs="微软雅黑"/>
          <w:spacing w:val="-6"/>
          <w:szCs w:val="21"/>
          <w:u w:val="single"/>
        </w:rPr>
        <w:t xml:space="preserve"> / </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（7）双方约定发包人应做的其他工作：</w:t>
      </w:r>
      <w:r>
        <w:rPr>
          <w:rFonts w:hint="eastAsia" w:ascii="微软雅黑" w:hAnsi="微软雅黑" w:cs="微软雅黑"/>
          <w:spacing w:val="-6"/>
          <w:szCs w:val="21"/>
          <w:u w:val="single"/>
        </w:rPr>
        <w:t xml:space="preserve">/</w:t>
      </w:r>
      <w:r>
        <w:rPr>
          <w:rFonts w:ascii="微软雅黑" w:hAnsi="微软雅黑" w:cs="微软雅黑"/>
          <w:spacing w:val="-6"/>
          <w:szCs w:val="21"/>
          <w:u w:val="single"/>
        </w:rPr>
      </w:r>
      <w:r/>
    </w:p>
    <w:p>
      <w:pPr>
        <w:pStyle w:val="1044"/>
        <w:spacing w:line="440" w:lineRule="exact"/>
        <w:rPr>
          <w:rFonts w:ascii="微软雅黑" w:hAnsi="微软雅黑" w:cs="微软雅黑"/>
          <w:b/>
          <w:szCs w:val="21"/>
        </w:rPr>
      </w:pPr>
      <w:r>
        <w:rPr>
          <w:rFonts w:hint="eastAsia" w:ascii="微软雅黑" w:hAnsi="微软雅黑" w:cs="微软雅黑"/>
          <w:b/>
          <w:szCs w:val="21"/>
        </w:rPr>
        <w:t xml:space="preserve">2.3 其他义务</w:t>
      </w:r>
      <w:r>
        <w:rPr>
          <w:rFonts w:ascii="微软雅黑" w:hAnsi="微软雅黑" w:cs="微软雅黑"/>
          <w:b/>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发包人委托承包人办理的工作:/</w:t>
      </w:r>
      <w:r>
        <w:rPr>
          <w:rFonts w:ascii="微软雅黑" w:hAnsi="微软雅黑" w:cs="微软雅黑"/>
          <w:spacing w:val="-6"/>
          <w:szCs w:val="21"/>
        </w:rPr>
      </w:r>
      <w:r/>
    </w:p>
    <w:p>
      <w:pPr>
        <w:pStyle w:val="1044"/>
        <w:spacing w:line="440" w:lineRule="exact"/>
        <w:rPr>
          <w:rFonts w:ascii="微软雅黑" w:hAnsi="微软雅黑" w:cs="微软雅黑"/>
          <w:szCs w:val="21"/>
          <w:u w:val="single"/>
        </w:rPr>
      </w:pPr>
      <w:r>
        <w:rPr>
          <w:rFonts w:hint="eastAsia" w:ascii="微软雅黑" w:hAnsi="微软雅黑" w:cs="微软雅黑"/>
          <w:spacing w:val="-6"/>
          <w:szCs w:val="21"/>
          <w:u w:val="single"/>
        </w:rPr>
        <w:t xml:space="preserve">                                                                                   </w:t>
      </w:r>
      <w:r>
        <w:rPr>
          <w:rFonts w:ascii="微软雅黑" w:hAnsi="微软雅黑" w:cs="微软雅黑"/>
          <w:szCs w:val="21"/>
          <w:u w:val="single"/>
        </w:rPr>
      </w:r>
      <w:r/>
    </w:p>
    <w:p>
      <w:pPr>
        <w:pStyle w:val="1044"/>
        <w:spacing w:line="440" w:lineRule="exact"/>
        <w:rPr>
          <w:rFonts w:ascii="微软雅黑" w:hAnsi="微软雅黑" w:cs="微软雅黑"/>
          <w:b/>
          <w:szCs w:val="21"/>
        </w:rPr>
      </w:pPr>
      <w:r>
        <w:rPr>
          <w:rFonts w:hint="eastAsia" w:ascii="微软雅黑" w:hAnsi="微软雅黑" w:cs="微软雅黑"/>
          <w:b/>
          <w:szCs w:val="21"/>
        </w:rPr>
        <w:t xml:space="preserve">3 监理</w:t>
      </w:r>
      <w:r>
        <w:rPr>
          <w:rFonts w:ascii="微软雅黑" w:hAnsi="微软雅黑" w:cs="微软雅黑"/>
          <w:b/>
          <w:szCs w:val="21"/>
        </w:rPr>
      </w:r>
      <w:r/>
    </w:p>
    <w:p>
      <w:pPr>
        <w:pStyle w:val="1044"/>
        <w:ind w:firstLine="412"/>
        <w:spacing w:line="440" w:lineRule="exact"/>
        <w:rPr>
          <w:rFonts w:ascii="微软雅黑" w:hAnsi="微软雅黑" w:cs="微软雅黑"/>
          <w:b/>
          <w:szCs w:val="21"/>
        </w:rPr>
      </w:pPr>
      <w:r>
        <w:rPr>
          <w:rFonts w:hint="eastAsia" w:ascii="微软雅黑" w:hAnsi="微软雅黑" w:cs="微软雅黑"/>
          <w:b/>
          <w:szCs w:val="21"/>
        </w:rPr>
        <w:t xml:space="preserve">3.1 监理人的职责和权力</w:t>
      </w:r>
      <w:r>
        <w:rPr>
          <w:rFonts w:ascii="微软雅黑" w:hAnsi="微软雅黑" w:cs="微软雅黑"/>
          <w:b/>
          <w:szCs w:val="21"/>
        </w:rPr>
      </w:r>
      <w:r/>
    </w:p>
    <w:p>
      <w:pPr>
        <w:pStyle w:val="1044"/>
        <w:ind w:firstLine="420"/>
        <w:spacing w:line="440" w:lineRule="exact"/>
        <w:tabs>
          <w:tab w:val="left" w:pos="1440" w:leader="none"/>
        </w:tabs>
        <w:rPr>
          <w:rFonts w:ascii="微软雅黑" w:hAnsi="微软雅黑" w:cs="微软雅黑"/>
          <w:szCs w:val="21"/>
          <w:u w:val="single"/>
        </w:rPr>
      </w:pPr>
      <w:r>
        <w:rPr>
          <w:rFonts w:hint="eastAsia" w:ascii="微软雅黑" w:hAnsi="微软雅黑" w:cs="微软雅黑"/>
          <w:szCs w:val="21"/>
        </w:rPr>
        <w:t xml:space="preserve">发包人委托的职权 ：</w:t>
      </w:r>
      <w:r>
        <w:rPr>
          <w:rFonts w:hint="eastAsia" w:ascii="微软雅黑" w:hAnsi="微软雅黑" w:cs="微软雅黑"/>
          <w:szCs w:val="21"/>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计</w:t>
      </w:r>
      <w:r>
        <w:rPr>
          <w:rFonts w:hint="eastAsia" w:ascii="微软雅黑" w:hAnsi="微软雅黑" w:cs="微软雅黑"/>
          <w:szCs w:val="21"/>
        </w:rPr>
        <w:t xml:space="preserve">。</w:t>
      </w:r>
      <w:r>
        <w:rPr>
          <w:rFonts w:ascii="微软雅黑" w:hAnsi="微软雅黑" w:cs="微软雅黑"/>
          <w:szCs w:val="21"/>
          <w:u w:val="single"/>
        </w:rPr>
      </w:r>
      <w:r/>
    </w:p>
    <w:p>
      <w:pPr>
        <w:pStyle w:val="1044"/>
        <w:ind w:firstLine="420"/>
        <w:spacing w:line="440" w:lineRule="exact"/>
        <w:tabs>
          <w:tab w:val="left" w:pos="1440" w:leader="none"/>
        </w:tabs>
        <w:rPr>
          <w:rFonts w:ascii="微软雅黑" w:hAnsi="微软雅黑" w:cs="微软雅黑"/>
          <w:szCs w:val="21"/>
          <w:u w:val="single"/>
        </w:rPr>
      </w:pPr>
      <w:r>
        <w:rPr>
          <w:rFonts w:hint="eastAsia" w:ascii="微软雅黑" w:hAnsi="微软雅黑" w:cs="微软雅黑"/>
          <w:szCs w:val="21"/>
        </w:rPr>
        <w:t xml:space="preserve">需要取得发包人批准才能行使的职权：</w:t>
      </w:r>
      <w:r>
        <w:rPr>
          <w:rFonts w:hint="eastAsia" w:ascii="微软雅黑" w:hAnsi="微软雅黑" w:cs="微软雅黑"/>
          <w:szCs w:val="21"/>
          <w:u w:val="single"/>
        </w:rPr>
        <w:t xml:space="preserve">凡工程施工过程中发生的影响工程决算费用的事项均须经</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单位盖章方为有效，包括但不限于：涉及工程造价的签证；增加工程量或设计变更的签证；涉及开工令、停工令、复工令以及工程延期、索赔等手续（本条款为特别约定）</w:t>
      </w:r>
      <w:r>
        <w:rPr>
          <w:rFonts w:hint="eastAsia" w:ascii="微软雅黑" w:hAnsi="微软雅黑" w:cs="微软雅黑"/>
          <w:szCs w:val="21"/>
        </w:rPr>
        <w:t xml:space="preserve">。</w:t>
      </w:r>
      <w:r>
        <w:rPr>
          <w:rFonts w:hint="eastAsia" w:ascii="微软雅黑" w:hAnsi="微软雅黑" w:cs="微软雅黑"/>
          <w:szCs w:val="21"/>
          <w:u w:val="single"/>
        </w:rPr>
        <w:t xml:space="preserve">                            </w:t>
      </w:r>
      <w:r>
        <w:rPr>
          <w:rFonts w:ascii="微软雅黑" w:hAnsi="微软雅黑" w:cs="微软雅黑"/>
          <w:szCs w:val="21"/>
          <w:u w:val="single"/>
        </w:rPr>
      </w:r>
      <w:r/>
    </w:p>
    <w:p>
      <w:pPr>
        <w:pStyle w:val="1044"/>
        <w:ind w:firstLine="412"/>
        <w:spacing w:line="440" w:lineRule="exact"/>
        <w:rPr>
          <w:rFonts w:ascii="微软雅黑" w:hAnsi="微软雅黑" w:cs="微软雅黑"/>
          <w:b/>
          <w:szCs w:val="21"/>
        </w:rPr>
      </w:pPr>
      <w:r>
        <w:rPr>
          <w:rFonts w:hint="eastAsia" w:ascii="微软雅黑" w:hAnsi="微软雅黑" w:cs="微软雅黑"/>
          <w:b/>
          <w:szCs w:val="21"/>
        </w:rPr>
        <w:t xml:space="preserve">3.2 监理人员</w:t>
      </w:r>
      <w:r>
        <w:rPr>
          <w:rFonts w:ascii="微软雅黑" w:hAnsi="微软雅黑" w:cs="微软雅黑"/>
          <w:b/>
          <w:szCs w:val="21"/>
        </w:rPr>
      </w:r>
      <w:r/>
    </w:p>
    <w:p>
      <w:pPr>
        <w:pStyle w:val="1044"/>
        <w:spacing w:line="440" w:lineRule="exact"/>
        <w:rPr>
          <w:rFonts w:ascii="微软雅黑" w:hAnsi="微软雅黑" w:cs="微软雅黑"/>
          <w:b/>
          <w:szCs w:val="21"/>
        </w:rPr>
      </w:pPr>
      <w:r>
        <w:rPr>
          <w:rFonts w:hint="eastAsia" w:ascii="微软雅黑" w:hAnsi="微软雅黑" w:cs="微软雅黑"/>
          <w:szCs w:val="21"/>
        </w:rPr>
        <w:t xml:space="preserve">监理单位委派的总监理工程师  姓名：</w:t>
      </w:r>
      <w:r>
        <w:rPr>
          <w:rFonts w:hint="eastAsia" w:ascii="微软雅黑" w:hAnsi="微软雅黑" w:cs="微软雅黑"/>
          <w:szCs w:val="21"/>
          <w:u w:val="single"/>
        </w:rPr>
        <w:t xml:space="preserve">      </w:t>
      </w:r>
      <w:r>
        <w:rPr>
          <w:rFonts w:hint="eastAsia" w:ascii="微软雅黑" w:hAnsi="微软雅黑" w:cs="微软雅黑"/>
          <w:szCs w:val="21"/>
        </w:rPr>
        <w:t xml:space="preserve"> 职务：</w:t>
      </w:r>
      <w:r>
        <w:rPr>
          <w:rFonts w:hint="eastAsia" w:ascii="微软雅黑" w:hAnsi="微软雅黑" w:cs="微软雅黑"/>
          <w:szCs w:val="21"/>
          <w:u w:val="single"/>
        </w:rPr>
        <w:t xml:space="preserve">      </w:t>
      </w:r>
      <w:r>
        <w:rPr>
          <w:rFonts w:hint="eastAsia" w:ascii="微软雅黑" w:hAnsi="微软雅黑" w:cs="微软雅黑"/>
          <w:szCs w:val="21"/>
        </w:rPr>
        <w:t xml:space="preserve"> 。</w:t>
      </w:r>
      <w:r>
        <w:rPr>
          <w:rFonts w:ascii="微软雅黑" w:hAnsi="微软雅黑" w:cs="微软雅黑"/>
          <w:b/>
          <w:szCs w:val="21"/>
        </w:rPr>
      </w:r>
      <w:r/>
    </w:p>
    <w:p>
      <w:pPr>
        <w:pStyle w:val="1044"/>
        <w:ind w:firstLine="412"/>
        <w:spacing w:line="440" w:lineRule="exact"/>
        <w:rPr>
          <w:rFonts w:ascii="微软雅黑" w:hAnsi="微软雅黑" w:cs="微软雅黑"/>
          <w:b/>
          <w:szCs w:val="21"/>
        </w:rPr>
      </w:pPr>
      <w:r>
        <w:rPr>
          <w:rFonts w:hint="eastAsia" w:ascii="微软雅黑" w:hAnsi="微软雅黑" w:cs="微软雅黑"/>
          <w:b/>
          <w:szCs w:val="21"/>
        </w:rPr>
        <w:t xml:space="preserve">4.1 承包人的一般义务</w:t>
      </w:r>
      <w:r>
        <w:rPr>
          <w:rFonts w:ascii="微软雅黑" w:hAnsi="微软雅黑" w:cs="微软雅黑"/>
          <w:b/>
          <w:szCs w:val="21"/>
        </w:rPr>
      </w:r>
      <w:r/>
    </w:p>
    <w:p>
      <w:pPr>
        <w:pStyle w:val="1044"/>
        <w:ind w:firstLine="420"/>
        <w:spacing w:line="440" w:lineRule="exact"/>
        <w:tabs>
          <w:tab w:val="left" w:pos="1440" w:leader="none"/>
        </w:tabs>
        <w:rPr>
          <w:rFonts w:ascii="微软雅黑" w:hAnsi="微软雅黑" w:cs="微软雅黑"/>
          <w:spacing w:val="-6"/>
          <w:szCs w:val="21"/>
        </w:rPr>
      </w:pPr>
      <w:r>
        <w:rPr>
          <w:rFonts w:hint="eastAsia" w:ascii="微软雅黑" w:hAnsi="微软雅黑" w:cs="微软雅黑"/>
          <w:b/>
          <w:szCs w:val="21"/>
        </w:rPr>
        <w:t xml:space="preserve">承包人除完成合同通用条款规定的任务和履行合同约定的义务外，</w:t>
      </w:r>
      <w:r>
        <w:rPr>
          <w:rFonts w:hint="eastAsia" w:ascii="微软雅黑" w:hAnsi="微软雅黑" w:cs="微软雅黑"/>
          <w:spacing w:val="-6"/>
          <w:szCs w:val="21"/>
        </w:rPr>
        <w:t xml:space="preserve">承包人还应按约定时间和要求，完成以下工作：</w:t>
      </w:r>
      <w:r>
        <w:rPr>
          <w:rFonts w:ascii="微软雅黑" w:hAnsi="微软雅黑" w:cs="微软雅黑"/>
          <w:spacing w:val="-6"/>
          <w:szCs w:val="21"/>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（1）应提供计划、报表的名称及完成时间：</w:t>
      </w:r>
      <w:r>
        <w:rPr>
          <w:rFonts w:hint="eastAsia" w:ascii="微软雅黑" w:hAnsi="微软雅黑" w:cs="微软雅黑"/>
          <w:spacing w:val="-6"/>
          <w:szCs w:val="21"/>
          <w:u w:val="single"/>
        </w:rPr>
        <w:t xml:space="preserve">  </w:t>
      </w:r>
      <w:r>
        <w:rPr>
          <w:rFonts w:hint="eastAsia" w:ascii="微软雅黑" w:hAnsi="微软雅黑" w:cs="微软雅黑"/>
          <w:szCs w:val="21"/>
          <w:u w:val="single"/>
        </w:rPr>
        <w:t xml:space="preserve">进场施工前提供材料计划，根据要求分别向发包人及监理方提供详细的施工进度计划、已完工程量报表（含工程变更及签证预算）、承包人采购材料清单、材料进场计划等资料。</w:t>
      </w:r>
      <w:r>
        <w:rPr>
          <w:rFonts w:ascii="微软雅黑" w:hAnsi="微软雅黑" w:cs="微软雅黑"/>
          <w:spacing w:val="-6"/>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pacing w:val="-6"/>
          <w:szCs w:val="21"/>
        </w:rPr>
        <w:t xml:space="preserve">（2）承担施工安全保卫工作及非夜间施工照明的责任和要求：</w:t>
      </w:r>
      <w:r>
        <w:rPr>
          <w:rFonts w:hint="eastAsia" w:ascii="微软雅黑" w:hAnsi="微软雅黑" w:cs="微软雅黑"/>
          <w:szCs w:val="21"/>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rPr>
          <w:rFonts w:ascii="微软雅黑" w:hAnsi="微软雅黑" w:cs="微软雅黑"/>
          <w:szCs w:val="21"/>
          <w:u w:val="single"/>
        </w:rPr>
      </w:r>
      <w:r/>
    </w:p>
    <w:p>
      <w:pPr>
        <w:pStyle w:val="1044"/>
        <w:ind w:firstLine="99"/>
        <w:spacing w:line="440" w:lineRule="exact"/>
        <w:rPr>
          <w:rFonts w:ascii="微软雅黑" w:hAnsi="微软雅黑" w:cs="微软雅黑"/>
          <w:szCs w:val="21"/>
        </w:rPr>
      </w:pPr>
      <w:r>
        <w:rPr>
          <w:rFonts w:hint="eastAsia" w:ascii="微软雅黑" w:hAnsi="微软雅黑" w:cs="微软雅黑"/>
          <w:spacing w:val="-6"/>
          <w:szCs w:val="21"/>
        </w:rPr>
        <w:t xml:space="preserve">（3）</w:t>
      </w:r>
      <w:r>
        <w:rPr>
          <w:rFonts w:hint="eastAsia" w:ascii="微软雅黑" w:hAnsi="微软雅黑" w:cs="微软雅黑"/>
          <w:szCs w:val="21"/>
        </w:rPr>
        <w:t xml:space="preserve">需承包人办理的有关施工场地交通、环卫和施工噪音管理等手续：</w:t>
      </w:r>
      <w:r>
        <w:rPr>
          <w:rFonts w:hint="eastAsia" w:ascii="微软雅黑" w:hAnsi="微软雅黑" w:cs="微软雅黑"/>
          <w:szCs w:val="21"/>
          <w:u w:val="single"/>
        </w:rPr>
        <w:t xml:space="preserve">施工区域涉及学校内部，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rPr>
          <w:rFonts w:ascii="微软雅黑" w:hAnsi="微软雅黑" w:cs="微软雅黑"/>
          <w:szCs w:val="21"/>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（4）已完成工程成品保护的要求：</w:t>
      </w:r>
      <w:r>
        <w:rPr>
          <w:rFonts w:hint="eastAsia" w:ascii="微软雅黑" w:hAnsi="微软雅黑" w:cs="微软雅黑"/>
          <w:spacing w:val="-6"/>
          <w:szCs w:val="21"/>
          <w:u w:val="single"/>
        </w:rPr>
        <w:t xml:space="preserve">在工程移交之前，由承包人承担对已完工程成品保护。</w:t>
      </w:r>
      <w:r>
        <w:rPr>
          <w:rFonts w:hint="eastAsia" w:ascii="微软雅黑" w:hAnsi="微软雅黑" w:cs="微软雅黑"/>
          <w:szCs w:val="21"/>
          <w:u w:val="single"/>
        </w:rPr>
        <w:t xml:space="preserve">保护期间发生的损坏承包人自费予以修理。</w:t>
      </w:r>
      <w:r>
        <w:rPr>
          <w:rFonts w:hint="eastAsia" w:ascii="微软雅黑" w:hAnsi="微软雅黑" w:cs="微软雅黑"/>
          <w:spacing w:val="-6"/>
          <w:szCs w:val="21"/>
          <w:u w:val="single"/>
        </w:rPr>
        <w:t xml:space="preserve"> </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（5）施工场地周围地下管线和邻近建筑物、构筑物（含文物保护建筑）、古树名木环境工程设施的保护要求：</w:t>
      </w:r>
      <w:r>
        <w:rPr>
          <w:rFonts w:hint="eastAsia" w:ascii="微软雅黑" w:hAnsi="微软雅黑" w:cs="微软雅黑"/>
          <w:szCs w:val="21"/>
          <w:u w:val="single"/>
        </w:rPr>
        <w:t xml:space="preserve">承包人须做好各项保护措施</w:t>
      </w:r>
      <w:r>
        <w:rPr>
          <w:rFonts w:hint="eastAsia" w:ascii="微软雅黑" w:hAnsi="微软雅黑" w:cs="微软雅黑"/>
          <w:spacing w:val="-6"/>
          <w:szCs w:val="21"/>
          <w:u w:val="single"/>
        </w:rPr>
        <w:t xml:space="preserve">，费用包含在投标报价内。</w:t>
      </w:r>
      <w:r>
        <w:rPr>
          <w:rFonts w:hint="eastAsia" w:ascii="微软雅黑" w:hAnsi="微软雅黑" w:cs="微软雅黑"/>
          <w:szCs w:val="21"/>
          <w:u w:val="single"/>
        </w:rPr>
        <w:t xml:space="preserve">造成损坏的，由承包人负责赔偿，并承担修复费用。</w:t>
      </w:r>
      <w:r>
        <w:rPr>
          <w:rFonts w:ascii="微软雅黑" w:hAnsi="微软雅黑" w:cs="微软雅黑"/>
          <w:spacing w:val="-6"/>
          <w:szCs w:val="21"/>
          <w:u w:val="single"/>
        </w:rPr>
      </w:r>
      <w:r/>
    </w:p>
    <w:p>
      <w:pPr>
        <w:pStyle w:val="1044"/>
        <w:ind w:firstLine="396"/>
        <w:spacing w:line="440" w:lineRule="exact"/>
        <w:rPr>
          <w:rFonts w:ascii="微软雅黑" w:hAnsi="微软雅黑" w:cs="微软雅黑"/>
          <w:szCs w:val="21"/>
        </w:rPr>
      </w:pPr>
      <w:r>
        <w:rPr>
          <w:rFonts w:hint="eastAsia" w:ascii="微软雅黑" w:hAnsi="微软雅黑" w:cs="微软雅黑"/>
          <w:spacing w:val="-6"/>
          <w:szCs w:val="21"/>
        </w:rPr>
        <w:t xml:space="preserve">（6）施工场地清洁卫生的要求：</w:t>
      </w:r>
      <w:r>
        <w:rPr>
          <w:rFonts w:hint="eastAsia" w:ascii="微软雅黑" w:hAnsi="微软雅黑" w:cs="微软雅黑"/>
          <w:szCs w:val="21"/>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u w:val="single"/>
        </w:rPr>
        <w:t xml:space="preserve">另须符合发包人和监理工程师以及市文明工地场地现场的要求提出的一切文明施工、环境</w:t>
      </w:r>
      <w:r>
        <w:rPr>
          <w:rFonts w:hint="eastAsia" w:ascii="微软雅黑" w:hAnsi="微软雅黑" w:cs="微软雅黑"/>
          <w:szCs w:val="21"/>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rPr>
          <w:rFonts w:ascii="微软雅黑" w:hAnsi="微软雅黑" w:cs="微软雅黑"/>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（7）双方约定承包人应做的其他工作：</w:t>
      </w:r>
      <w:r>
        <w:rPr>
          <w:rFonts w:ascii="微软雅黑" w:hAnsi="微软雅黑" w:cs="微软雅黑"/>
          <w:spacing w:val="-6"/>
          <w:szCs w:val="21"/>
        </w:rPr>
      </w:r>
      <w:r/>
    </w:p>
    <w:p>
      <w:pPr>
        <w:pStyle w:val="1044"/>
        <w:ind w:firstLine="504"/>
        <w:spacing w:line="440" w:lineRule="exact"/>
        <w:rPr>
          <w:rFonts w:ascii="微软雅黑" w:hAnsi="微软雅黑" w:cs="微软雅黑"/>
          <w:szCs w:val="21"/>
          <w:u w:val="single"/>
        </w:rPr>
      </w:pPr>
      <w:r>
        <w:rPr>
          <w:rFonts w:hint="eastAsia" w:ascii="微软雅黑" w:hAnsi="微软雅黑" w:cs="微软雅黑"/>
          <w:szCs w:val="21"/>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rPr>
          <w:rFonts w:ascii="微软雅黑" w:hAnsi="微软雅黑" w:cs="微软雅黑"/>
          <w:szCs w:val="21"/>
          <w:u w:val="single"/>
        </w:rPr>
      </w:r>
      <w:r/>
    </w:p>
    <w:p>
      <w:pPr>
        <w:pStyle w:val="1044"/>
        <w:ind w:firstLine="504"/>
        <w:spacing w:line="440" w:lineRule="exact"/>
        <w:rPr>
          <w:rFonts w:ascii="微软雅黑" w:hAnsi="微软雅黑" w:cs="微软雅黑"/>
          <w:szCs w:val="21"/>
          <w:u w:val="single"/>
        </w:rPr>
      </w:pPr>
      <w:r>
        <w:rPr>
          <w:rFonts w:hint="eastAsia" w:ascii="微软雅黑" w:hAnsi="微软雅黑" w:cs="微软雅黑"/>
          <w:szCs w:val="21"/>
          <w:u w:val="single"/>
        </w:rPr>
        <w:t xml:space="preserve">b、承包人使用施工范围场外道路的，应按发包人规定线路通行，做到不影响学校正常教学、实验秩序，不影响周围居民。杜绝责任内工地使用“无牌无证”、敞篷渣土车。</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ascii="微软雅黑" w:hAnsi="微软雅黑" w:cs="微软雅黑"/>
          <w:szCs w:val="21"/>
          <w:u w:val="single"/>
        </w:rPr>
      </w:r>
      <w:r/>
    </w:p>
    <w:p>
      <w:pPr>
        <w:pStyle w:val="1044"/>
        <w:spacing w:line="440" w:lineRule="exact"/>
        <w:rPr>
          <w:rFonts w:ascii="微软雅黑" w:hAnsi="微软雅黑" w:cs="微软雅黑"/>
          <w:szCs w:val="21"/>
          <w:u w:val="single"/>
        </w:rPr>
      </w:pPr>
      <w:r>
        <w:rPr>
          <w:rFonts w:hint="eastAsia" w:ascii="微软雅黑" w:hAnsi="微软雅黑" w:cs="微软雅黑"/>
          <w:szCs w:val="21"/>
        </w:rPr>
        <w:t xml:space="preserve">    </w:t>
      </w:r>
      <w:r>
        <w:rPr>
          <w:rFonts w:hint="eastAsia" w:ascii="微软雅黑" w:hAnsi="微软雅黑" w:cs="微软雅黑"/>
          <w:szCs w:val="21"/>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e、新建道路、管线工程施工堆土要按规定要求进行覆盖并及时清运。</w:t>
      </w:r>
      <w:r>
        <w:rPr>
          <w:rFonts w:hint="eastAsia" w:ascii="微软雅黑" w:hAnsi="微软雅黑" w:cs="微软雅黑"/>
          <w:szCs w:val="21"/>
        </w:rPr>
        <w:t xml:space="preserve">             </w:t>
      </w:r>
      <w:r>
        <w:rPr>
          <w:rFonts w:hint="eastAsia" w:ascii="微软雅黑" w:hAnsi="微软雅黑" w:cs="微软雅黑"/>
          <w:szCs w:val="21"/>
          <w:u w:val="single"/>
        </w:rPr>
        <w:t xml:space="preserve">    </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h、承包人应当提交国家或地方规定必须提供的其他资料。承包人须遵守校园管理的相关规定。</w:t>
      </w:r>
      <w:r>
        <w:rPr>
          <w:rFonts w:ascii="微软雅黑" w:hAnsi="微软雅黑" w:cs="微软雅黑"/>
          <w:szCs w:val="21"/>
          <w:u w:val="single"/>
        </w:rPr>
      </w:r>
      <w:r/>
    </w:p>
    <w:p>
      <w:pPr>
        <w:pStyle w:val="1069"/>
        <w:ind w:left="0" w:right="0" w:firstLine="420"/>
        <w:spacing w:after="0" w:line="440" w:lineRule="exact"/>
        <w:rPr>
          <w:rFonts w:hint="eastAsia" w:ascii="微软雅黑" w:hAnsi="微软雅黑" w:cs="微软雅黑"/>
          <w:szCs w:val="21"/>
          <w:u w:val="single"/>
        </w:rPr>
      </w:pPr>
      <w:r>
        <w:rPr>
          <w:rFonts w:hint="eastAsia" w:ascii="微软雅黑" w:hAnsi="微软雅黑" w:cs="微软雅黑"/>
          <w:b/>
          <w:szCs w:val="21"/>
        </w:rPr>
        <w:t xml:space="preserve">4.2承包人项目经理：</w:t>
      </w:r>
      <w:r>
        <w:rPr>
          <w:rFonts w:hint="eastAsia" w:ascii="微软雅黑" w:hAnsi="微软雅黑" w:cs="微软雅黑"/>
          <w:szCs w:val="21"/>
        </w:rPr>
        <w:t xml:space="preserve"> </w:t>
      </w:r>
      <w:r>
        <w:rPr>
          <w:rFonts w:hint="eastAsia" w:ascii="微软雅黑" w:hAnsi="微软雅黑" w:cs="微软雅黑"/>
          <w:szCs w:val="21"/>
          <w:u w:val="single"/>
        </w:rPr>
        <w:t xml:space="preserve">姓名：                      </w:t>
      </w:r>
      <w:r>
        <w:rPr>
          <w:rFonts w:hint="eastAsia" w:ascii="微软雅黑" w:hAnsi="微软雅黑" w:cs="微软雅黑"/>
          <w:szCs w:val="21"/>
          <w:u w:val="single"/>
        </w:rPr>
      </w:r>
      <w:r/>
    </w:p>
    <w:p>
      <w:pPr>
        <w:pStyle w:val="1044"/>
        <w:ind w:firstLine="420"/>
        <w:rPr>
          <w:rFonts w:hint="eastAsia" w:ascii="微软雅黑" w:hAnsi="微软雅黑" w:cs="微软雅黑"/>
        </w:rPr>
      </w:pPr>
      <w:r>
        <w:rPr>
          <w:rFonts w:hint="eastAsia" w:ascii="微软雅黑" w:hAnsi="微软雅黑" w:cs="微软雅黑"/>
        </w:rPr>
        <w:t xml:space="preserve">4.2.1工程总承包项目经理每月在现场的时间要求详见24.4</w:t>
      </w:r>
      <w:r>
        <w:rPr>
          <w:rFonts w:hint="eastAsia" w:ascii="微软雅黑" w:hAnsi="微软雅黑" w:cs="微软雅黑"/>
        </w:rPr>
      </w:r>
      <w:r/>
    </w:p>
    <w:p>
      <w:pPr>
        <w:pStyle w:val="1044"/>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4.2.2发包人发现项目经理不到场或未经批准离场的，发包人有权按每天5000元人民币的标准收取承包人违约金。如项目经理一周有两次不到场或未经批准离场的或二周累计5次不到现场，或未经批准离场的，视为承包人严重违约，发包人有权解除合同，将承包人清退出场，解除合同的同时不免除承包人应当承担的违约责任。</w:t>
      </w:r>
      <w:r>
        <w:rPr>
          <w:rFonts w:hint="eastAsia" w:ascii="微软雅黑" w:hAnsi="微软雅黑" w:cs="微软雅黑"/>
          <w:szCs w:val="21"/>
          <w:u w:val="single"/>
        </w:rPr>
      </w:r>
      <w:r/>
    </w:p>
    <w:p>
      <w:pPr>
        <w:pStyle w:val="1044"/>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4.2.3承包人对工程总承包项目经理的授权范围:为承包人的代表全面履行合同义务，全面负责并组织本工程施工总承包的全过程管理。</w:t>
      </w:r>
      <w:r>
        <w:rPr>
          <w:rFonts w:hint="eastAsia" w:ascii="微软雅黑" w:hAnsi="微软雅黑" w:cs="微软雅黑"/>
          <w:szCs w:val="21"/>
          <w:u w:val="single"/>
        </w:rPr>
      </w:r>
      <w:r/>
    </w:p>
    <w:p>
      <w:pPr>
        <w:pStyle w:val="1044"/>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4.2.4承包人无正当理由拒绝更换工程总承包项目经理的违约责任:承包人须支付发包人50万元违约金，且发包人有权解除合同。</w:t>
      </w:r>
      <w:r>
        <w:rPr>
          <w:rFonts w:hint="eastAsia" w:ascii="微软雅黑" w:hAnsi="微软雅黑" w:cs="微软雅黑"/>
          <w:szCs w:val="21"/>
          <w:u w:val="single"/>
        </w:rPr>
      </w:r>
      <w:r/>
    </w:p>
    <w:p>
      <w:pPr>
        <w:pStyle w:val="1047"/>
        <w:spacing w:before="0" w:after="0" w:line="440" w:lineRule="exact"/>
        <w:rPr>
          <w:rFonts w:ascii="微软雅黑" w:hAnsi="微软雅黑" w:cs="微软雅黑"/>
          <w:sz w:val="21"/>
          <w:szCs w:val="21"/>
        </w:rPr>
      </w:pPr>
      <w:r/>
      <w:bookmarkStart w:id="235" w:name="_Toc28027"/>
      <w:r/>
      <w:bookmarkStart w:id="236" w:name="_Toc671"/>
      <w:r>
        <w:rPr>
          <w:rFonts w:hint="eastAsia" w:ascii="微软雅黑" w:hAnsi="微软雅黑" w:cs="微软雅黑"/>
          <w:sz w:val="21"/>
          <w:szCs w:val="21"/>
        </w:rPr>
        <w:t xml:space="preserve">5 材料和工程设备</w:t>
      </w:r>
      <w:bookmarkEnd w:id="235"/>
      <w:r/>
      <w:bookmarkEnd w:id="236"/>
      <w:r>
        <w:rPr>
          <w:rFonts w:ascii="微软雅黑" w:hAnsi="微软雅黑" w:cs="微软雅黑"/>
          <w:sz w:val="21"/>
          <w:szCs w:val="21"/>
        </w:rPr>
      </w:r>
      <w:r/>
    </w:p>
    <w:p>
      <w:pPr>
        <w:pStyle w:val="1044"/>
        <w:ind w:firstLine="412"/>
        <w:spacing w:line="440" w:lineRule="exact"/>
        <w:rPr>
          <w:rFonts w:ascii="微软雅黑" w:hAnsi="微软雅黑" w:cs="微软雅黑"/>
          <w:b/>
          <w:szCs w:val="21"/>
        </w:rPr>
      </w:pPr>
      <w:r>
        <w:rPr>
          <w:rFonts w:hint="eastAsia" w:ascii="微软雅黑" w:hAnsi="微软雅黑" w:cs="微软雅黑"/>
          <w:b/>
          <w:szCs w:val="21"/>
        </w:rPr>
        <w:t xml:space="preserve">5.1 承包人提供的材料和工程设备</w:t>
      </w:r>
      <w:r>
        <w:rPr>
          <w:rFonts w:ascii="微软雅黑" w:hAnsi="微软雅黑" w:cs="微软雅黑"/>
          <w:b/>
          <w:szCs w:val="21"/>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（2）</w:t>
      </w:r>
      <w:r>
        <w:rPr>
          <w:rFonts w:hint="eastAsia" w:ascii="微软雅黑" w:hAnsi="微软雅黑" w:cs="微软雅黑"/>
          <w:spacing w:val="2"/>
          <w:szCs w:val="21"/>
          <w:u w:val="single"/>
        </w:rPr>
        <w:t xml:space="preserve">承包人采购材料的性能、规格、质量应符合</w:t>
      </w:r>
      <w:r>
        <w:rPr>
          <w:rFonts w:hint="eastAsia" w:ascii="微软雅黑" w:hAnsi="微软雅黑" w:cs="微软雅黑"/>
          <w:szCs w:val="21"/>
          <w:u w:val="single"/>
        </w:rPr>
        <w:t xml:space="preserve">国家规范和</w:t>
      </w:r>
      <w:r>
        <w:rPr>
          <w:rFonts w:hint="eastAsia" w:ascii="微软雅黑" w:hAnsi="微软雅黑" w:cs="微软雅黑"/>
          <w:spacing w:val="2"/>
          <w:szCs w:val="21"/>
          <w:u w:val="single"/>
        </w:rPr>
        <w:t xml:space="preserve">设计要求，且不能低于发包人所提供的材料的性能、规格、质量、颜色要求的标准，</w:t>
      </w:r>
      <w:r>
        <w:rPr>
          <w:rFonts w:hint="eastAsia" w:ascii="微软雅黑" w:hAnsi="微软雅黑" w:cs="微软雅黑"/>
          <w:szCs w:val="21"/>
          <w:u w:val="single"/>
        </w:rPr>
        <w:t xml:space="preserve">并按规定向发包人或监理工程师提供产品合格证、产品质量检验资料</w:t>
      </w:r>
      <w:r>
        <w:rPr>
          <w:rFonts w:hint="eastAsia" w:ascii="微软雅黑" w:hAnsi="微软雅黑" w:cs="微软雅黑"/>
          <w:spacing w:val="2"/>
          <w:szCs w:val="21"/>
          <w:u w:val="single"/>
        </w:rPr>
        <w:t xml:space="preserve">。</w:t>
      </w:r>
      <w:r>
        <w:rPr>
          <w:rFonts w:hint="eastAsia" w:ascii="微软雅黑" w:hAnsi="微软雅黑" w:cs="微软雅黑"/>
          <w:szCs w:val="21"/>
          <w:u w:val="single"/>
        </w:rPr>
        <w:t xml:space="preserve">承包人采购的材料设备在使用前，承包人应按工程师的要求进行检验或试验，不合格的不得使用，检验或试验费用由承包人承担。</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（3）监理工程师发现承包人采购并使用不符合设计或发包人要求的材料品牌和设备时，要求由承包人负责修复、拆除或重新采购，并承担发生的费用，由此延误的工期不予顺延。</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（4）承包人需要使用代用材料时，应经发包人书面认可后才能使用。</w:t>
      </w:r>
      <w:r>
        <w:rPr>
          <w:rFonts w:ascii="微软雅黑" w:hAnsi="微软雅黑" w:cs="微软雅黑"/>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rPr>
          <w:rFonts w:ascii="微软雅黑" w:hAnsi="微软雅黑" w:cs="微软雅黑"/>
          <w:szCs w:val="21"/>
          <w:u w:val="single"/>
        </w:rPr>
      </w:r>
      <w:r/>
    </w:p>
    <w:p>
      <w:pPr>
        <w:pStyle w:val="1044"/>
        <w:ind w:firstLine="560"/>
        <w:spacing w:line="440" w:lineRule="exact"/>
        <w:rPr>
          <w:rFonts w:ascii="微软雅黑" w:hAnsi="微软雅黑" w:cs="微软雅黑"/>
          <w:spacing w:val="2"/>
          <w:szCs w:val="21"/>
          <w:u w:val="single"/>
        </w:rPr>
      </w:pPr>
      <w:r>
        <w:rPr>
          <w:rFonts w:hint="eastAsia" w:ascii="微软雅黑" w:hAnsi="微软雅黑" w:cs="微软雅黑"/>
          <w:spacing w:val="2"/>
          <w:szCs w:val="21"/>
          <w:u w:val="single"/>
        </w:rPr>
        <w:t xml:space="preserve">（6）</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施工期间采购的全部材料或设备，在进场使用前须向</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提供相关材料或设备的购买发票，</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有权对材料进行抽样检查。经</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认可的材料或设备，方可应用于本工程。若</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将未经</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认可的材料或设备投入本工程，</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有权要求</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拆除相关施工部分并重新修建，同时视情节轻重直至解除合同；</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承担违约责任，由此造成的经济损失，由</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完全承担。</w:t>
      </w:r>
      <w:r>
        <w:rPr>
          <w:rFonts w:ascii="微软雅黑" w:hAnsi="微软雅黑" w:cs="微软雅黑"/>
          <w:spacing w:val="2"/>
          <w:szCs w:val="21"/>
          <w:u w:val="single"/>
        </w:rPr>
      </w:r>
      <w:r/>
    </w:p>
    <w:p>
      <w:pPr>
        <w:pStyle w:val="1044"/>
        <w:ind w:firstLine="560"/>
        <w:spacing w:line="440" w:lineRule="exact"/>
        <w:rPr>
          <w:rFonts w:ascii="微软雅黑" w:hAnsi="微软雅黑" w:cs="微软雅黑"/>
          <w:spacing w:val="2"/>
          <w:szCs w:val="21"/>
          <w:u w:val="single"/>
        </w:rPr>
      </w:pPr>
      <w:r>
        <w:rPr>
          <w:rFonts w:hint="eastAsia" w:ascii="微软雅黑" w:hAnsi="微软雅黑" w:cs="微软雅黑"/>
          <w:spacing w:val="2"/>
          <w:szCs w:val="21"/>
          <w:u w:val="single"/>
        </w:rPr>
        <w:t xml:space="preserve">（7）</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将不合格或未达到</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投标承诺标准的材料应用于本工程的，经</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检测发现或他人举报后由</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查实的，</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有权视情节轻重由</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承担合同总价10%-30%的违约金。</w:t>
      </w:r>
      <w:r>
        <w:rPr>
          <w:rFonts w:ascii="微软雅黑" w:hAnsi="微软雅黑" w:cs="微软雅黑"/>
          <w:spacing w:val="2"/>
          <w:szCs w:val="21"/>
          <w:u w:val="single"/>
        </w:rPr>
      </w:r>
      <w:r/>
    </w:p>
    <w:p>
      <w:pPr>
        <w:pStyle w:val="1044"/>
        <w:ind w:firstLine="560"/>
        <w:spacing w:line="440" w:lineRule="exact"/>
        <w:rPr>
          <w:rFonts w:ascii="微软雅黑" w:hAnsi="微软雅黑" w:cs="微软雅黑"/>
          <w:spacing w:val="2"/>
          <w:szCs w:val="21"/>
          <w:u w:val="single"/>
        </w:rPr>
      </w:pPr>
      <w:r>
        <w:rPr>
          <w:rFonts w:hint="eastAsia" w:ascii="微软雅黑" w:hAnsi="微软雅黑" w:cs="微软雅黑"/>
          <w:spacing w:val="2"/>
          <w:szCs w:val="21"/>
          <w:u w:val="single"/>
        </w:rPr>
        <w:t xml:space="preserve">（8）</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不因本工程施工结束，而不再履行合法合规使用材料和设备的义务。工程竣工后，若</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发现</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投入本工程的材料存在质量问题或未达到</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投标承诺标准的，</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有权按本节第（7）条的规定，对</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追究责任，并上报行政主管部门。</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需负责对问题工程进行修补或重新建设，由此产生的经济损失和成本由</w:t>
      </w:r>
      <w:r>
        <w:rPr>
          <w:rFonts w:hint="eastAsia" w:ascii="微软雅黑" w:hAnsi="微软雅黑" w:cs="微软雅黑"/>
          <w:spacing w:val="2"/>
          <w:szCs w:val="21"/>
          <w:u w:val="single"/>
          <w:lang w:eastAsia="zh-CN"/>
        </w:rPr>
        <w:t xml:space="preserve">承包人</w:t>
      </w:r>
      <w:r>
        <w:rPr>
          <w:rFonts w:hint="eastAsia" w:ascii="微软雅黑" w:hAnsi="微软雅黑" w:cs="微软雅黑"/>
          <w:spacing w:val="2"/>
          <w:szCs w:val="21"/>
          <w:u w:val="single"/>
        </w:rPr>
        <w:t xml:space="preserve">全部承担。</w:t>
      </w:r>
      <w:r>
        <w:rPr>
          <w:rFonts w:ascii="微软雅黑" w:hAnsi="微软雅黑" w:cs="微软雅黑"/>
          <w:spacing w:val="2"/>
          <w:szCs w:val="21"/>
          <w:u w:val="single"/>
        </w:rPr>
      </w:r>
      <w:r/>
    </w:p>
    <w:p>
      <w:pPr>
        <w:pStyle w:val="1044"/>
        <w:ind w:firstLine="306"/>
        <w:spacing w:line="440" w:lineRule="exact"/>
        <w:rPr>
          <w:rFonts w:ascii="微软雅黑" w:hAnsi="微软雅黑" w:cs="微软雅黑"/>
          <w:szCs w:val="21"/>
        </w:rPr>
      </w:pPr>
      <w:r>
        <w:rPr>
          <w:rFonts w:hint="eastAsia" w:ascii="微软雅黑" w:hAnsi="微软雅黑" w:cs="微软雅黑"/>
          <w:szCs w:val="21"/>
        </w:rPr>
        <w:t xml:space="preserve">5.2 发包人提供的材料和工程设备： /</w:t>
      </w:r>
      <w:r>
        <w:rPr>
          <w:rFonts w:ascii="微软雅黑" w:hAnsi="微软雅黑" w:cs="微软雅黑"/>
          <w:szCs w:val="21"/>
        </w:rPr>
      </w:r>
      <w:r/>
    </w:p>
    <w:p>
      <w:pPr>
        <w:pStyle w:val="1047"/>
        <w:spacing w:before="0" w:after="0" w:line="440" w:lineRule="exact"/>
        <w:rPr>
          <w:rFonts w:ascii="微软雅黑" w:hAnsi="微软雅黑" w:cs="微软雅黑"/>
          <w:sz w:val="21"/>
          <w:szCs w:val="21"/>
        </w:rPr>
      </w:pPr>
      <w:r/>
      <w:bookmarkStart w:id="237" w:name="_Toc22090"/>
      <w:r/>
      <w:bookmarkStart w:id="238" w:name="_Toc13716"/>
      <w:r>
        <w:rPr>
          <w:rFonts w:hint="eastAsia" w:ascii="微软雅黑" w:hAnsi="微软雅黑" w:cs="微软雅黑"/>
          <w:sz w:val="21"/>
          <w:szCs w:val="21"/>
        </w:rPr>
        <w:t xml:space="preserve">6交通运输</w:t>
      </w:r>
      <w:bookmarkEnd w:id="237"/>
      <w:r/>
      <w:bookmarkEnd w:id="238"/>
      <w:r>
        <w:rPr>
          <w:rFonts w:ascii="微软雅黑" w:hAnsi="微软雅黑" w:cs="微软雅黑"/>
          <w:sz w:val="21"/>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按相应通用条款执行</w:t>
      </w:r>
      <w:r>
        <w:rPr>
          <w:rFonts w:ascii="微软雅黑" w:hAnsi="微软雅黑" w:cs="微软雅黑"/>
          <w:szCs w:val="21"/>
        </w:rPr>
      </w:r>
      <w:r/>
    </w:p>
    <w:p>
      <w:pPr>
        <w:pStyle w:val="1047"/>
        <w:spacing w:before="0" w:after="0" w:line="440" w:lineRule="exact"/>
        <w:rPr>
          <w:rFonts w:ascii="微软雅黑" w:hAnsi="微软雅黑" w:cs="微软雅黑"/>
          <w:sz w:val="21"/>
          <w:szCs w:val="21"/>
        </w:rPr>
      </w:pPr>
      <w:r/>
      <w:bookmarkStart w:id="239" w:name="_Toc32244"/>
      <w:r/>
      <w:bookmarkStart w:id="240" w:name="_Toc22171"/>
      <w:r>
        <w:rPr>
          <w:rFonts w:hint="eastAsia" w:ascii="微软雅黑" w:hAnsi="微软雅黑" w:cs="微软雅黑"/>
          <w:sz w:val="21"/>
          <w:szCs w:val="21"/>
        </w:rPr>
        <w:t xml:space="preserve">7 测量放线</w:t>
      </w:r>
      <w:bookmarkEnd w:id="239"/>
      <w:r/>
      <w:bookmarkEnd w:id="240"/>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7.1 施工控制网</w:t>
      </w:r>
      <w:r>
        <w:rPr>
          <w:rFonts w:ascii="微软雅黑" w:hAnsi="微软雅黑" w:cs="微软雅黑"/>
          <w:b/>
          <w:szCs w:val="21"/>
        </w:rPr>
      </w:r>
      <w:r/>
    </w:p>
    <w:p>
      <w:pPr>
        <w:pStyle w:val="1044"/>
        <w:ind w:firstLine="420"/>
        <w:spacing w:line="440" w:lineRule="exact"/>
        <w:rPr>
          <w:rFonts w:ascii="微软雅黑" w:hAnsi="微软雅黑" w:cs="微软雅黑"/>
          <w:spacing w:val="-6"/>
          <w:szCs w:val="21"/>
          <w:u w:val="single"/>
        </w:rPr>
      </w:pPr>
      <w:r>
        <w:rPr>
          <w:rFonts w:hint="eastAsia" w:ascii="微软雅黑" w:hAnsi="微软雅黑" w:cs="微软雅黑"/>
          <w:b/>
          <w:szCs w:val="21"/>
        </w:rPr>
        <w:t xml:space="preserve">7.1.1 </w:t>
      </w:r>
      <w:r>
        <w:rPr>
          <w:rFonts w:hint="eastAsia" w:ascii="微软雅黑" w:hAnsi="微软雅黑" w:cs="微软雅黑"/>
          <w:szCs w:val="21"/>
        </w:rPr>
        <w:t xml:space="preserve">监理人向承包人提供测量基准点、基准线和水准点及其书面资料的时间约定：</w:t>
      </w:r>
      <w:r>
        <w:rPr>
          <w:rFonts w:hint="eastAsia" w:ascii="微软雅黑" w:hAnsi="微软雅黑" w:cs="微软雅黑"/>
          <w:spacing w:val="-6"/>
          <w:szCs w:val="21"/>
          <w:u w:val="single"/>
        </w:rPr>
        <w:t xml:space="preserve">    开工前提供水准点与坐标控制点。</w:t>
      </w:r>
      <w:r>
        <w:rPr>
          <w:rFonts w:ascii="微软雅黑" w:hAnsi="微软雅黑" w:cs="微软雅黑"/>
          <w:spacing w:val="-6"/>
          <w:szCs w:val="21"/>
          <w:u w:val="single"/>
        </w:rPr>
      </w:r>
      <w:r/>
    </w:p>
    <w:p>
      <w:pPr>
        <w:pStyle w:val="1044"/>
        <w:spacing w:line="440" w:lineRule="exact"/>
        <w:rPr>
          <w:rFonts w:ascii="微软雅黑" w:hAnsi="微软雅黑" w:cs="微软雅黑"/>
          <w:szCs w:val="21"/>
          <w:u w:val="single"/>
        </w:rPr>
      </w:pPr>
      <w:r>
        <w:rPr>
          <w:rFonts w:hint="eastAsia" w:ascii="微软雅黑" w:hAnsi="微软雅黑" w:cs="微软雅黑"/>
          <w:szCs w:val="21"/>
        </w:rPr>
        <w:t xml:space="preserve">承包人向监理人报送施工控制网的时间约定：</w:t>
      </w:r>
      <w:r>
        <w:rPr>
          <w:rFonts w:hint="eastAsia" w:ascii="微软雅黑" w:hAnsi="微软雅黑" w:cs="微软雅黑"/>
          <w:szCs w:val="21"/>
          <w:u w:val="single"/>
        </w:rPr>
        <w:t xml:space="preserve">开工后十天。</w:t>
      </w:r>
      <w:r>
        <w:rPr>
          <w:rFonts w:ascii="微软雅黑" w:hAnsi="微软雅黑" w:cs="微软雅黑"/>
          <w:szCs w:val="21"/>
          <w:u w:val="single"/>
        </w:rPr>
      </w:r>
      <w:r/>
    </w:p>
    <w:p>
      <w:pPr>
        <w:pStyle w:val="1047"/>
        <w:spacing w:before="0" w:after="0" w:line="440" w:lineRule="exact"/>
        <w:rPr>
          <w:rFonts w:ascii="微软雅黑" w:hAnsi="微软雅黑" w:cs="微软雅黑"/>
          <w:sz w:val="21"/>
          <w:szCs w:val="21"/>
        </w:rPr>
      </w:pPr>
      <w:r/>
      <w:bookmarkStart w:id="241" w:name="_Toc21219"/>
      <w:r/>
      <w:bookmarkStart w:id="242" w:name="_Toc28035"/>
      <w:r>
        <w:rPr>
          <w:rFonts w:hint="eastAsia" w:ascii="微软雅黑" w:hAnsi="微软雅黑" w:cs="微软雅黑"/>
          <w:sz w:val="21"/>
          <w:szCs w:val="21"/>
        </w:rPr>
        <w:t xml:space="preserve">8 施工安全、治安保卫和环境保护</w:t>
      </w:r>
      <w:bookmarkEnd w:id="241"/>
      <w:r/>
      <w:bookmarkEnd w:id="242"/>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8．1 发包人的施工安全责任</w:t>
      </w:r>
      <w:r>
        <w:rPr>
          <w:rFonts w:ascii="微软雅黑" w:hAnsi="微软雅黑" w:cs="微软雅黑"/>
          <w:b/>
          <w:szCs w:val="21"/>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b/>
          <w:szCs w:val="21"/>
        </w:rPr>
        <w:t xml:space="preserve">8.1.1 发包人应履行的安全职责：</w:t>
      </w:r>
      <w:r>
        <w:rPr>
          <w:rFonts w:hint="eastAsia" w:ascii="微软雅黑" w:hAnsi="微软雅黑" w:cs="微软雅黑"/>
          <w:szCs w:val="21"/>
          <w:u w:val="single"/>
        </w:rPr>
        <w:t xml:space="preserve">/</w:t>
      </w:r>
      <w:r>
        <w:rPr>
          <w:rFonts w:ascii="微软雅黑" w:hAnsi="微软雅黑" w:cs="微软雅黑"/>
          <w:szCs w:val="21"/>
          <w:u w:val="single"/>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8.2 承包人的施工安全责任</w:t>
      </w:r>
      <w:r>
        <w:rPr>
          <w:rFonts w:ascii="微软雅黑" w:hAnsi="微软雅黑" w:cs="微软雅黑"/>
          <w:b/>
          <w:szCs w:val="21"/>
        </w:rPr>
      </w:r>
      <w:r/>
    </w:p>
    <w:p>
      <w:pPr>
        <w:pStyle w:val="1044"/>
        <w:ind w:firstLine="420"/>
        <w:spacing w:line="440" w:lineRule="exact"/>
        <w:rPr>
          <w:rFonts w:ascii="微软雅黑" w:hAnsi="微软雅黑" w:cs="微软雅黑"/>
          <w:b/>
          <w:szCs w:val="21"/>
          <w:u w:val="single"/>
        </w:rPr>
      </w:pPr>
      <w:r>
        <w:rPr>
          <w:rFonts w:hint="eastAsia" w:ascii="微软雅黑" w:hAnsi="微软雅黑" w:cs="微软雅黑"/>
          <w:b/>
          <w:szCs w:val="21"/>
        </w:rPr>
        <w:t xml:space="preserve">8.2.1 承包人应履行的安全职责</w:t>
      </w:r>
      <w:r>
        <w:rPr>
          <w:rFonts w:hint="eastAsia" w:ascii="微软雅黑" w:hAnsi="微软雅黑" w:cs="微软雅黑"/>
          <w:b/>
          <w:szCs w:val="21"/>
          <w:u w:val="single"/>
        </w:rPr>
        <w:t xml:space="preserve">：</w:t>
      </w:r>
      <w:r>
        <w:rPr>
          <w:rFonts w:hint="eastAsia" w:ascii="微软雅黑" w:hAnsi="微软雅黑" w:cs="微软雅黑"/>
          <w:szCs w:val="21"/>
          <w:u w:val="single"/>
        </w:rPr>
        <w:t xml:space="preserve">按国家、省、市关于安全生产的规定执行。 </w:t>
      </w:r>
      <w:r>
        <w:rPr>
          <w:rFonts w:hint="eastAsia" w:ascii="微软雅黑" w:hAnsi="微软雅黑" w:cs="微软雅黑"/>
          <w:b/>
          <w:szCs w:val="21"/>
          <w:u w:val="single"/>
        </w:rPr>
        <w:t xml:space="preserve">施工安全由承包人全权负责。因承包人原因造成施工安全事故，给发包人造成人身伤亡、财产损失、行政处罚或第三方索赔等一切损失的，发包人有权向承包人全额追偿，追偿范围包括但不限于损失赔偿金、罚款、诉讼费、律师费、保全费等。</w:t>
      </w:r>
      <w:r>
        <w:rPr>
          <w:rFonts w:ascii="微软雅黑" w:hAnsi="微软雅黑" w:cs="微软雅黑"/>
          <w:b/>
          <w:szCs w:val="21"/>
          <w:u w:val="single"/>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szCs w:val="21"/>
        </w:rPr>
        <w:t xml:space="preserve">承包人编制的施工安全措施计划报送监理人的时间：</w:t>
      </w:r>
      <w:r>
        <w:rPr>
          <w:rFonts w:hint="eastAsia" w:ascii="微软雅黑" w:hAnsi="微软雅黑" w:cs="微软雅黑"/>
          <w:szCs w:val="21"/>
          <w:u w:val="single"/>
        </w:rPr>
        <w:t xml:space="preserve"> 开工后十天。 </w:t>
      </w:r>
      <w:r>
        <w:rPr>
          <w:rFonts w:ascii="微软雅黑" w:hAnsi="微软雅黑" w:cs="微软雅黑"/>
          <w:szCs w:val="21"/>
          <w:u w:val="single"/>
        </w:rPr>
      </w:r>
      <w:r/>
    </w:p>
    <w:p>
      <w:pPr>
        <w:pStyle w:val="1047"/>
        <w:spacing w:before="0" w:after="0" w:line="440" w:lineRule="exact"/>
        <w:rPr>
          <w:rFonts w:ascii="微软雅黑" w:hAnsi="微软雅黑" w:cs="微软雅黑"/>
          <w:sz w:val="21"/>
          <w:szCs w:val="21"/>
        </w:rPr>
      </w:pPr>
      <w:r/>
      <w:bookmarkStart w:id="243" w:name="_Toc22978"/>
      <w:r/>
      <w:bookmarkStart w:id="244" w:name="_Toc962"/>
      <w:r>
        <w:rPr>
          <w:rFonts w:hint="eastAsia" w:ascii="微软雅黑" w:hAnsi="微软雅黑" w:cs="微软雅黑"/>
          <w:sz w:val="21"/>
          <w:szCs w:val="21"/>
        </w:rPr>
        <w:t xml:space="preserve">9进度计划</w:t>
      </w:r>
      <w:bookmarkEnd w:id="243"/>
      <w:r/>
      <w:bookmarkEnd w:id="244"/>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9.1 合同进度计划</w:t>
      </w:r>
      <w:r>
        <w:rPr>
          <w:rFonts w:ascii="微软雅黑" w:hAnsi="微软雅黑" w:cs="微软雅黑"/>
          <w:b/>
          <w:szCs w:val="21"/>
        </w:rPr>
      </w:r>
      <w:r/>
    </w:p>
    <w:p>
      <w:pPr>
        <w:pStyle w:val="1044"/>
        <w:ind w:firstLine="420"/>
        <w:jc w:val="left"/>
        <w:spacing w:line="440" w:lineRule="exact"/>
        <w:rPr>
          <w:rFonts w:ascii="微软雅黑" w:hAnsi="微软雅黑" w:cs="微软雅黑"/>
          <w:szCs w:val="21"/>
          <w:u w:val="single"/>
        </w:rPr>
      </w:pPr>
      <w:r>
        <w:rPr>
          <w:rFonts w:hint="eastAsia" w:ascii="微软雅黑" w:hAnsi="微软雅黑" w:cs="微软雅黑"/>
          <w:szCs w:val="21"/>
        </w:rPr>
        <w:t xml:space="preserve">承包人编制详细施工进度计划和施工方案的内容、编制时间，报送监理人的时间约定：</w:t>
      </w:r>
      <w:r>
        <w:rPr>
          <w:rFonts w:hint="eastAsia" w:ascii="微软雅黑" w:hAnsi="微软雅黑" w:cs="微软雅黑"/>
          <w:spacing w:val="-6"/>
          <w:szCs w:val="21"/>
          <w:u w:val="single"/>
        </w:rPr>
        <w:t xml:space="preserve">技术交底后五天内应将施工组织设计和进度计划交工程师审查。 </w:t>
      </w:r>
      <w:r>
        <w:rPr>
          <w:rFonts w:ascii="微软雅黑" w:hAnsi="微软雅黑" w:cs="微软雅黑"/>
          <w:szCs w:val="21"/>
          <w:u w:val="single"/>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监理人批复或提出修改意见的时间约定：</w:t>
      </w:r>
      <w:r>
        <w:rPr>
          <w:rFonts w:hint="eastAsia" w:ascii="微软雅黑" w:hAnsi="微软雅黑" w:cs="微软雅黑"/>
          <w:spacing w:val="-6"/>
          <w:szCs w:val="21"/>
          <w:u w:val="single"/>
        </w:rPr>
        <w:t xml:space="preserve">收到承包人提交的施工组织设计及进度计划后，五天内组织审查，如审查通过，应及时确认，如需要完善和修改，承包人应在审查后三天内予以完善后交由工程师及时确认。</w:t>
      </w:r>
      <w:r>
        <w:rPr>
          <w:rFonts w:ascii="微软雅黑" w:hAnsi="微软雅黑" w:cs="微软雅黑"/>
          <w:szCs w:val="21"/>
        </w:rPr>
      </w:r>
      <w:r/>
    </w:p>
    <w:p>
      <w:pPr>
        <w:pStyle w:val="1047"/>
        <w:spacing w:before="0" w:after="0" w:line="440" w:lineRule="exact"/>
        <w:rPr>
          <w:rFonts w:ascii="微软雅黑" w:hAnsi="微软雅黑" w:cs="微软雅黑"/>
          <w:sz w:val="21"/>
          <w:szCs w:val="21"/>
        </w:rPr>
      </w:pPr>
      <w:r/>
      <w:bookmarkStart w:id="245" w:name="_Toc5456"/>
      <w:r/>
      <w:bookmarkStart w:id="246" w:name="_Toc14285"/>
      <w:r>
        <w:rPr>
          <w:rFonts w:hint="eastAsia" w:ascii="微软雅黑" w:hAnsi="微软雅黑" w:cs="微软雅黑"/>
          <w:sz w:val="21"/>
          <w:szCs w:val="21"/>
        </w:rPr>
        <w:t xml:space="preserve">10 开工和竣工</w:t>
      </w:r>
      <w:bookmarkEnd w:id="245"/>
      <w:r/>
      <w:bookmarkEnd w:id="246"/>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10.1 工期延误</w:t>
      </w:r>
      <w:r>
        <w:rPr>
          <w:rFonts w:ascii="微软雅黑" w:hAnsi="微软雅黑" w:cs="微软雅黑"/>
          <w:b/>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因征地拆迁或发包人原因造成停工，导致工期延误，承包人应及时向发包人提出，商讨应对办法，双方按应对办法协商解决。</w:t>
      </w:r>
      <w:r>
        <w:rPr>
          <w:rFonts w:ascii="微软雅黑" w:hAnsi="微软雅黑" w:cs="微软雅黑"/>
          <w:spacing w:val="-6"/>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10.2异常恶劣的气候条件</w:t>
      </w:r>
      <w:r>
        <w:rPr>
          <w:rFonts w:ascii="微软雅黑" w:hAnsi="微软雅黑" w:cs="微软雅黑"/>
          <w:b/>
          <w:szCs w:val="21"/>
        </w:rPr>
      </w:r>
      <w:r/>
    </w:p>
    <w:p>
      <w:pPr>
        <w:pStyle w:val="1044"/>
        <w:spacing w:line="440" w:lineRule="exact"/>
        <w:rPr>
          <w:rFonts w:ascii="微软雅黑" w:hAnsi="微软雅黑" w:cs="微软雅黑"/>
          <w:szCs w:val="21"/>
          <w:u w:val="single"/>
        </w:rPr>
      </w:pPr>
      <w:r>
        <w:rPr>
          <w:rFonts w:hint="eastAsia" w:ascii="微软雅黑" w:hAnsi="微软雅黑" w:cs="微软雅黑"/>
          <w:szCs w:val="21"/>
        </w:rPr>
        <w:t xml:space="preserve">异常恶劣气候条件是指：</w:t>
      </w:r>
      <w:r>
        <w:rPr>
          <w:rFonts w:hint="eastAsia" w:ascii="微软雅黑" w:hAnsi="微软雅黑" w:cs="微软雅黑"/>
          <w:szCs w:val="21"/>
          <w:u w:val="single"/>
        </w:rPr>
        <w:t xml:space="preserve">雷击、特大洪水灾害。异常气候条件发生，经发包人及监理书面同意后，承包人可以得到工期的顺延，但不得提出任何费用补偿要求，应把相关风险考虑到投标报价中。 </w:t>
      </w:r>
      <w:r>
        <w:rPr>
          <w:rFonts w:ascii="微软雅黑" w:hAnsi="微软雅黑" w:cs="微软雅黑"/>
          <w:szCs w:val="21"/>
          <w:u w:val="single"/>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10.3承包人的工期延误</w:t>
      </w:r>
      <w:r>
        <w:rPr>
          <w:rFonts w:ascii="微软雅黑" w:hAnsi="微软雅黑" w:cs="微软雅黑"/>
          <w:b/>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由于承包人违约造成工期延误时，承包人应支付逾期竣工违约金的计算方法：</w:t>
      </w:r>
      <w:r>
        <w:rPr>
          <w:rFonts w:ascii="微软雅黑" w:hAnsi="微软雅黑" w:cs="微软雅黑"/>
          <w:szCs w:val="21"/>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本工程按合同工期推迟一天交付使用，每天按工程总造价5‰支付违约金，最多不超过总造价20%。</w:t>
      </w:r>
      <w:r>
        <w:rPr>
          <w:rFonts w:ascii="微软雅黑" w:hAnsi="微软雅黑" w:cs="微软雅黑"/>
          <w:spacing w:val="-6"/>
          <w:szCs w:val="21"/>
          <w:u w:val="single"/>
        </w:rPr>
      </w:r>
      <w:r/>
    </w:p>
    <w:p>
      <w:pPr>
        <w:pStyle w:val="1073"/>
        <w:ind w:firstLine="560"/>
        <w:spacing w:line="440" w:lineRule="exact"/>
        <w:rPr>
          <w:rFonts w:ascii="微软雅黑" w:hAnsi="微软雅黑" w:eastAsia="微软雅黑" w:cs="微软雅黑"/>
          <w:spacing w:val="-6"/>
          <w:sz w:val="21"/>
          <w:szCs w:val="21"/>
          <w:u w:val="single"/>
        </w:rPr>
      </w:pPr>
      <w:r>
        <w:rPr>
          <w:rFonts w:hint="eastAsia" w:ascii="微软雅黑" w:hAnsi="微软雅黑" w:eastAsia="微软雅黑" w:cs="微软雅黑"/>
          <w:spacing w:val="-6"/>
          <w:sz w:val="21"/>
          <w:szCs w:val="21"/>
          <w:u w:val="single"/>
        </w:rPr>
        <w:t xml:space="preserve">双方约定工期顺延的其他情况：不可抗力，以及因</w:t>
      </w:r>
      <w:r>
        <w:rPr>
          <w:rFonts w:hint="eastAsia" w:ascii="微软雅黑" w:hAnsi="微软雅黑" w:eastAsia="微软雅黑" w:cs="微软雅黑"/>
          <w:spacing w:val="-6"/>
          <w:sz w:val="21"/>
          <w:szCs w:val="21"/>
          <w:u w:val="single"/>
          <w:lang w:eastAsia="zh-CN"/>
        </w:rPr>
        <w:t xml:space="preserve">发包人</w:t>
      </w:r>
      <w:r>
        <w:rPr>
          <w:rFonts w:hint="eastAsia" w:ascii="微软雅黑" w:hAnsi="微软雅黑" w:eastAsia="微软雅黑" w:cs="微软雅黑"/>
          <w:spacing w:val="-6"/>
          <w:sz w:val="21"/>
          <w:szCs w:val="21"/>
          <w:u w:val="single"/>
        </w:rPr>
        <w:t xml:space="preserve">原因造成的，经</w:t>
      </w:r>
      <w:r>
        <w:rPr>
          <w:rFonts w:hint="eastAsia" w:ascii="微软雅黑" w:hAnsi="微软雅黑" w:eastAsia="微软雅黑" w:cs="微软雅黑"/>
          <w:spacing w:val="-6"/>
          <w:sz w:val="21"/>
          <w:szCs w:val="21"/>
          <w:u w:val="single"/>
          <w:lang w:eastAsia="zh-CN"/>
        </w:rPr>
        <w:t xml:space="preserve">发包人</w:t>
      </w:r>
      <w:r>
        <w:rPr>
          <w:rFonts w:hint="eastAsia" w:ascii="微软雅黑" w:hAnsi="微软雅黑" w:eastAsia="微软雅黑" w:cs="微软雅黑"/>
          <w:spacing w:val="-6"/>
          <w:sz w:val="21"/>
          <w:szCs w:val="21"/>
          <w:u w:val="single"/>
        </w:rPr>
        <w:t xml:space="preserve">及监理工程师批准的，工期顺延，</w:t>
      </w:r>
      <w:r>
        <w:rPr>
          <w:rFonts w:hint="eastAsia" w:ascii="微软雅黑" w:hAnsi="微软雅黑" w:eastAsia="微软雅黑" w:cs="微软雅黑"/>
          <w:spacing w:val="-6"/>
          <w:sz w:val="21"/>
          <w:szCs w:val="21"/>
          <w:u w:val="single"/>
          <w:lang w:eastAsia="zh-CN"/>
        </w:rPr>
        <w:t xml:space="preserve">发包人</w:t>
      </w:r>
      <w:r>
        <w:rPr>
          <w:rFonts w:hint="eastAsia" w:ascii="微软雅黑" w:hAnsi="微软雅黑" w:eastAsia="微软雅黑" w:cs="微软雅黑"/>
          <w:spacing w:val="-6"/>
          <w:sz w:val="21"/>
          <w:szCs w:val="21"/>
          <w:u w:val="single"/>
        </w:rPr>
        <w:t xml:space="preserve">无需给予</w:t>
      </w:r>
      <w:r>
        <w:rPr>
          <w:rFonts w:hint="eastAsia" w:ascii="微软雅黑" w:hAnsi="微软雅黑" w:eastAsia="微软雅黑" w:cs="微软雅黑"/>
          <w:spacing w:val="-6"/>
          <w:sz w:val="21"/>
          <w:szCs w:val="21"/>
          <w:u w:val="single"/>
          <w:lang w:eastAsia="zh-CN"/>
        </w:rPr>
        <w:t xml:space="preserve">承包人</w:t>
      </w:r>
      <w:r>
        <w:rPr>
          <w:rFonts w:hint="eastAsia" w:ascii="微软雅黑" w:hAnsi="微软雅黑" w:eastAsia="微软雅黑" w:cs="微软雅黑"/>
          <w:spacing w:val="-6"/>
          <w:sz w:val="21"/>
          <w:szCs w:val="21"/>
          <w:u w:val="single"/>
        </w:rPr>
        <w:t xml:space="preserve">任何补偿。</w:t>
      </w:r>
      <w:r>
        <w:rPr>
          <w:rFonts w:ascii="微软雅黑" w:hAnsi="微软雅黑" w:eastAsia="微软雅黑" w:cs="微软雅黑"/>
          <w:spacing w:val="-6"/>
          <w:sz w:val="21"/>
          <w:szCs w:val="21"/>
          <w:u w:val="single"/>
        </w:rPr>
      </w:r>
      <w:r/>
    </w:p>
    <w:p>
      <w:pPr>
        <w:pStyle w:val="1047"/>
        <w:spacing w:before="0" w:after="0" w:line="440" w:lineRule="exact"/>
        <w:rPr>
          <w:rFonts w:ascii="微软雅黑" w:hAnsi="微软雅黑" w:cs="微软雅黑"/>
          <w:sz w:val="21"/>
          <w:szCs w:val="21"/>
        </w:rPr>
      </w:pPr>
      <w:r/>
      <w:bookmarkStart w:id="247" w:name="_Toc29753"/>
      <w:r/>
      <w:bookmarkStart w:id="248" w:name="_Toc31395"/>
      <w:r>
        <w:rPr>
          <w:rFonts w:hint="eastAsia" w:ascii="微软雅黑" w:hAnsi="微软雅黑" w:cs="微软雅黑"/>
          <w:sz w:val="21"/>
          <w:szCs w:val="21"/>
        </w:rPr>
        <w:t xml:space="preserve">11 暂停施工</w:t>
      </w:r>
      <w:bookmarkEnd w:id="247"/>
      <w:r/>
      <w:bookmarkEnd w:id="248"/>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11.1承包人暂停施工的责任</w:t>
      </w:r>
      <w:r>
        <w:rPr>
          <w:rFonts w:ascii="微软雅黑" w:hAnsi="微软雅黑" w:cs="微软雅黑"/>
          <w:b/>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按合同通用条款执行</w:t>
      </w:r>
      <w:r>
        <w:rPr>
          <w:rFonts w:ascii="微软雅黑" w:hAnsi="微软雅黑" w:cs="微软雅黑"/>
          <w:spacing w:val="-6"/>
          <w:szCs w:val="21"/>
        </w:rPr>
      </w:r>
      <w:r/>
    </w:p>
    <w:p>
      <w:pPr>
        <w:pStyle w:val="1047"/>
        <w:spacing w:before="0" w:after="0" w:line="440" w:lineRule="exact"/>
        <w:rPr>
          <w:rFonts w:ascii="微软雅黑" w:hAnsi="微软雅黑" w:cs="微软雅黑"/>
          <w:sz w:val="21"/>
          <w:szCs w:val="21"/>
        </w:rPr>
      </w:pPr>
      <w:r/>
      <w:bookmarkStart w:id="249" w:name="_Toc11121"/>
      <w:r/>
      <w:bookmarkStart w:id="250" w:name="_Toc15469"/>
      <w:r>
        <w:rPr>
          <w:rFonts w:hint="eastAsia" w:ascii="微软雅黑" w:hAnsi="微软雅黑" w:cs="微软雅黑"/>
          <w:sz w:val="21"/>
          <w:szCs w:val="21"/>
        </w:rPr>
        <w:t xml:space="preserve">12 工程质量</w:t>
      </w:r>
      <w:bookmarkEnd w:id="249"/>
      <w:r/>
      <w:bookmarkEnd w:id="250"/>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12.1 工程质量要求</w:t>
      </w:r>
      <w:r>
        <w:rPr>
          <w:rFonts w:ascii="微软雅黑" w:hAnsi="微软雅黑" w:cs="微软雅黑"/>
          <w:b/>
          <w:szCs w:val="21"/>
        </w:rPr>
      </w:r>
      <w:r/>
    </w:p>
    <w:p>
      <w:pPr>
        <w:pStyle w:val="1044"/>
        <w:ind w:firstLine="420"/>
        <w:spacing w:line="440" w:lineRule="exact"/>
        <w:rPr>
          <w:rFonts w:ascii="微软雅黑" w:hAnsi="微软雅黑" w:cs="微软雅黑"/>
          <w:szCs w:val="21"/>
          <w:u w:val="single"/>
        </w:rPr>
      </w:pPr>
      <w:r>
        <w:rPr>
          <w:rFonts w:hint="eastAsia" w:ascii="微软雅黑" w:hAnsi="微软雅黑" w:cs="微软雅黑"/>
          <w:b/>
          <w:szCs w:val="21"/>
        </w:rPr>
        <w:t xml:space="preserve">12.1.1 工程质量要求：</w:t>
      </w:r>
      <w:r>
        <w:rPr>
          <w:rFonts w:hint="eastAsia" w:ascii="微软雅黑" w:hAnsi="微软雅黑" w:cs="微软雅黑"/>
          <w:szCs w:val="21"/>
          <w:u w:val="single"/>
        </w:rPr>
        <w:t xml:space="preserve">符合现行国家最新质量验收标准</w:t>
      </w:r>
      <w:r>
        <w:rPr>
          <w:rFonts w:hint="eastAsia" w:ascii="微软雅黑" w:hAnsi="微软雅黑" w:cs="微软雅黑"/>
          <w:szCs w:val="21"/>
          <w:u w:val="single"/>
          <w:lang w:eastAsia="zh-CN"/>
        </w:rPr>
        <w:t xml:space="preserve">；</w:t>
      </w:r>
      <w:r>
        <w:rPr>
          <w:rFonts w:hint="eastAsia" w:ascii="微软雅黑" w:hAnsi="微软雅黑" w:cs="微软雅黑"/>
          <w:szCs w:val="21"/>
          <w:u w:val="single"/>
          <w:lang w:val="en-US" w:eastAsia="zh-CN"/>
        </w:rPr>
        <w:t xml:space="preserve">承包人提高标准的，按提高后标准实施，增加的费用发包人不另行支付。工程需通过发包人、业主、行政主管部门制定的验收标准且验收合格</w:t>
      </w:r>
      <w:r>
        <w:rPr>
          <w:rFonts w:hint="eastAsia" w:ascii="微软雅黑" w:hAnsi="微软雅黑" w:cs="微软雅黑"/>
          <w:szCs w:val="21"/>
          <w:u w:val="single"/>
        </w:rPr>
        <w:t xml:space="preserve">。</w:t>
      </w:r>
      <w:r>
        <w:rPr>
          <w:rFonts w:ascii="微软雅黑" w:hAnsi="微软雅黑" w:cs="微软雅黑"/>
          <w:szCs w:val="21"/>
          <w:u w:val="single"/>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12.2 承包人的质量管理</w:t>
      </w:r>
      <w:r>
        <w:rPr>
          <w:rFonts w:ascii="微软雅黑" w:hAnsi="微软雅黑" w:cs="微软雅黑"/>
          <w:b/>
          <w:szCs w:val="21"/>
        </w:rPr>
      </w:r>
      <w:r/>
    </w:p>
    <w:p>
      <w:pPr>
        <w:pStyle w:val="1044"/>
        <w:ind w:firstLine="412"/>
        <w:spacing w:line="440" w:lineRule="exact"/>
        <w:rPr>
          <w:rFonts w:ascii="微软雅黑" w:hAnsi="微软雅黑" w:cs="微软雅黑"/>
          <w:szCs w:val="21"/>
          <w:u w:val="single"/>
        </w:rPr>
      </w:pPr>
      <w:r>
        <w:rPr>
          <w:rFonts w:hint="eastAsia" w:ascii="微软雅黑" w:hAnsi="微软雅黑" w:cs="微软雅黑"/>
          <w:b/>
          <w:szCs w:val="21"/>
        </w:rPr>
        <w:t xml:space="preserve">12.2.1 承包人向监理人报送工程质量保证措施文件的时间约定</w:t>
      </w:r>
      <w:r>
        <w:rPr>
          <w:rFonts w:hint="eastAsia" w:ascii="微软雅黑" w:hAnsi="微软雅黑" w:cs="微软雅黑"/>
          <w:szCs w:val="21"/>
        </w:rPr>
        <w:t xml:space="preserve">：</w:t>
      </w:r>
      <w:r>
        <w:rPr>
          <w:rFonts w:hint="eastAsia" w:ascii="微软雅黑" w:hAnsi="微软雅黑" w:cs="微软雅黑"/>
          <w:szCs w:val="21"/>
          <w:u w:val="single"/>
        </w:rPr>
        <w:t xml:space="preserve">开工前一周。</w:t>
      </w:r>
      <w:r>
        <w:rPr>
          <w:rFonts w:ascii="微软雅黑" w:hAnsi="微软雅黑" w:cs="微软雅黑"/>
          <w:szCs w:val="21"/>
          <w:u w:val="single"/>
        </w:rPr>
      </w:r>
      <w:r/>
    </w:p>
    <w:p>
      <w:pPr>
        <w:pStyle w:val="1047"/>
        <w:spacing w:before="0" w:after="0" w:line="440" w:lineRule="exact"/>
        <w:rPr>
          <w:rFonts w:ascii="微软雅黑" w:hAnsi="微软雅黑" w:cs="微软雅黑"/>
          <w:sz w:val="21"/>
          <w:szCs w:val="21"/>
        </w:rPr>
      </w:pPr>
      <w:r/>
      <w:bookmarkStart w:id="251" w:name="_Toc13466"/>
      <w:r/>
      <w:bookmarkStart w:id="252" w:name="_Toc7646"/>
      <w:r>
        <w:rPr>
          <w:rFonts w:hint="eastAsia" w:ascii="微软雅黑" w:hAnsi="微软雅黑" w:cs="微软雅黑"/>
          <w:sz w:val="21"/>
          <w:szCs w:val="21"/>
        </w:rPr>
        <w:t xml:space="preserve">13 工程质量检测</w:t>
      </w:r>
      <w:bookmarkEnd w:id="251"/>
      <w:r/>
      <w:bookmarkEnd w:id="252"/>
      <w:r>
        <w:rPr>
          <w:rFonts w:ascii="微软雅黑" w:hAnsi="微软雅黑" w:cs="微软雅黑"/>
          <w:sz w:val="21"/>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13.1</w:t>
      </w:r>
      <w:r>
        <w:rPr>
          <w:rFonts w:hint="eastAsia" w:ascii="微软雅黑" w:hAnsi="微软雅黑" w:cs="微软雅黑"/>
          <w:spacing w:val="8"/>
          <w:szCs w:val="21"/>
        </w:rPr>
        <w:t xml:space="preserve">双方约定中间验收部位：</w:t>
      </w:r>
      <w:r>
        <w:rPr>
          <w:rFonts w:hint="eastAsia" w:ascii="微软雅黑" w:hAnsi="微软雅黑" w:cs="微软雅黑"/>
          <w:szCs w:val="21"/>
          <w:u w:val="single"/>
        </w:rPr>
        <w:t xml:space="preserve">发包人有权要求对本工程任何部位进行中间验收。</w:t>
      </w:r>
      <w:r>
        <w:rPr>
          <w:rFonts w:ascii="微软雅黑" w:hAnsi="微软雅黑" w:cs="微软雅黑"/>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13.2 工程质量检测费用</w:t>
      </w:r>
      <w:r>
        <w:rPr>
          <w:rFonts w:ascii="微软雅黑" w:hAnsi="微软雅黑" w:cs="微软雅黑"/>
          <w:b/>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szCs w:val="21"/>
        </w:rPr>
        <w:t xml:space="preserve">工程质量检测费用的约定：</w:t>
      </w:r>
      <w:r>
        <w:rPr>
          <w:rFonts w:hint="eastAsia" w:ascii="微软雅黑" w:hAnsi="微软雅黑" w:cs="微软雅黑"/>
          <w:szCs w:val="21"/>
          <w:u w:val="single"/>
        </w:rPr>
        <w:t xml:space="preserve">除发包人另行委托检测项目外，其余均由承包人承担工程质量检测费。</w:t>
      </w:r>
      <w:r>
        <w:rPr>
          <w:rFonts w:ascii="微软雅黑" w:hAnsi="微软雅黑" w:cs="微软雅黑"/>
          <w:b/>
          <w:szCs w:val="21"/>
        </w:rPr>
      </w:r>
      <w:r/>
    </w:p>
    <w:p>
      <w:pPr>
        <w:pStyle w:val="1047"/>
        <w:spacing w:before="0" w:after="0" w:line="440" w:lineRule="exact"/>
        <w:rPr>
          <w:rFonts w:ascii="微软雅黑" w:hAnsi="微软雅黑" w:cs="微软雅黑"/>
          <w:sz w:val="21"/>
          <w:szCs w:val="21"/>
        </w:rPr>
      </w:pPr>
      <w:r/>
      <w:bookmarkStart w:id="253" w:name="_Toc15908"/>
      <w:r/>
      <w:bookmarkStart w:id="254" w:name="_Toc653"/>
      <w:r>
        <w:rPr>
          <w:rFonts w:hint="eastAsia" w:ascii="微软雅黑" w:hAnsi="微软雅黑" w:cs="微软雅黑"/>
          <w:sz w:val="21"/>
          <w:szCs w:val="21"/>
        </w:rPr>
        <w:t xml:space="preserve">14 工程变更</w:t>
      </w:r>
      <w:bookmarkEnd w:id="253"/>
      <w:r/>
      <w:bookmarkEnd w:id="254"/>
      <w:r>
        <w:rPr>
          <w:rFonts w:ascii="微软雅黑" w:hAnsi="微软雅黑" w:cs="微软雅黑"/>
          <w:sz w:val="21"/>
          <w:szCs w:val="21"/>
        </w:rPr>
      </w:r>
      <w:r/>
    </w:p>
    <w:p>
      <w:pPr>
        <w:pStyle w:val="1044"/>
        <w:ind w:firstLine="396"/>
        <w:spacing w:line="440" w:lineRule="exact"/>
        <w:tabs>
          <w:tab w:val="left" w:pos="1440" w:leader="none"/>
        </w:tabs>
        <w:rPr>
          <w:rFonts w:ascii="微软雅黑" w:hAnsi="微软雅黑" w:cs="微软雅黑"/>
          <w:b/>
          <w:bCs/>
          <w:spacing w:val="-6"/>
          <w:szCs w:val="21"/>
        </w:rPr>
      </w:pPr>
      <w:r>
        <w:rPr>
          <w:rFonts w:hint="eastAsia" w:ascii="微软雅黑" w:hAnsi="微软雅黑" w:cs="微软雅黑"/>
          <w:b/>
          <w:spacing w:val="-6"/>
          <w:szCs w:val="21"/>
        </w:rPr>
        <w:t xml:space="preserve">14.1</w:t>
      </w:r>
      <w:r>
        <w:rPr>
          <w:rFonts w:hint="eastAsia" w:ascii="微软雅黑" w:hAnsi="微软雅黑" w:cs="微软雅黑"/>
          <w:b/>
          <w:bCs/>
          <w:spacing w:val="-6"/>
          <w:szCs w:val="21"/>
        </w:rPr>
        <w:t xml:space="preserve"> 工程变更和签证</w:t>
      </w:r>
      <w:r>
        <w:rPr>
          <w:rFonts w:ascii="微软雅黑" w:hAnsi="微软雅黑" w:cs="微软雅黑"/>
          <w:b/>
          <w:bCs/>
          <w:spacing w:val="-6"/>
          <w:szCs w:val="21"/>
        </w:rPr>
      </w:r>
      <w:r/>
    </w:p>
    <w:p>
      <w:pPr>
        <w:pStyle w:val="1044"/>
        <w:ind w:firstLine="560"/>
        <w:spacing w:line="440" w:lineRule="exact"/>
        <w:rPr>
          <w:rFonts w:ascii="微软雅黑" w:hAnsi="微软雅黑" w:cs="微软雅黑"/>
          <w:spacing w:val="2"/>
          <w:szCs w:val="21"/>
          <w:u w:val="single"/>
        </w:rPr>
      </w:pPr>
      <w:r>
        <w:rPr>
          <w:rFonts w:hint="eastAsia" w:ascii="微软雅黑" w:hAnsi="微软雅黑" w:cs="微软雅黑"/>
          <w:spacing w:val="2"/>
          <w:szCs w:val="21"/>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rPr>
          <w:rFonts w:ascii="微软雅黑" w:hAnsi="微软雅黑" w:cs="微软雅黑"/>
          <w:spacing w:val="2"/>
          <w:szCs w:val="21"/>
          <w:u w:val="single"/>
        </w:rPr>
      </w:r>
      <w:r/>
    </w:p>
    <w:p>
      <w:pPr>
        <w:pStyle w:val="1044"/>
        <w:ind w:firstLine="560"/>
        <w:spacing w:line="440" w:lineRule="exact"/>
        <w:rPr>
          <w:rFonts w:ascii="微软雅黑" w:hAnsi="微软雅黑" w:cs="微软雅黑"/>
          <w:spacing w:val="2"/>
          <w:szCs w:val="21"/>
          <w:u w:val="single"/>
        </w:rPr>
      </w:pPr>
      <w:r>
        <w:rPr>
          <w:rFonts w:hint="eastAsia" w:ascii="微软雅黑" w:hAnsi="微软雅黑" w:cs="微软雅黑"/>
          <w:spacing w:val="2"/>
          <w:szCs w:val="21"/>
          <w:u w:val="single"/>
        </w:rPr>
        <w:t xml:space="preserve">2、所有签证须经承包人项目经理、监理代表（若此项目有监理方）、</w:t>
      </w:r>
      <w:r>
        <w:rPr>
          <w:rFonts w:hint="eastAsia" w:ascii="微软雅黑" w:hAnsi="微软雅黑" w:cs="微软雅黑"/>
          <w:spacing w:val="2"/>
          <w:szCs w:val="21"/>
          <w:u w:val="single"/>
          <w:lang w:eastAsia="zh-CN"/>
        </w:rPr>
        <w:t xml:space="preserve">发包人</w:t>
      </w:r>
      <w:r>
        <w:rPr>
          <w:rFonts w:hint="eastAsia" w:ascii="微软雅黑" w:hAnsi="微软雅黑" w:cs="微软雅黑"/>
          <w:spacing w:val="2"/>
          <w:szCs w:val="21"/>
          <w:u w:val="single"/>
        </w:rPr>
        <w:t xml:space="preserve">现场代表共同签字，并经发包人盖章认可后方可生效。工程变更引起造价变化的，需附带工程预算变化明细，报发包人和审计部门审核，根据最终审核意见在结算中予以计取。</w:t>
      </w:r>
      <w:r>
        <w:rPr>
          <w:rFonts w:ascii="微软雅黑" w:hAnsi="微软雅黑" w:cs="微软雅黑"/>
          <w:spacing w:val="2"/>
          <w:szCs w:val="21"/>
          <w:u w:val="single"/>
        </w:rPr>
      </w:r>
      <w:r/>
    </w:p>
    <w:p>
      <w:pPr>
        <w:pStyle w:val="1073"/>
        <w:ind w:firstLine="428"/>
        <w:spacing w:line="440" w:lineRule="exact"/>
        <w:rPr>
          <w:rFonts w:ascii="微软雅黑" w:hAnsi="微软雅黑" w:eastAsia="微软雅黑" w:cs="微软雅黑"/>
          <w:spacing w:val="2"/>
          <w:sz w:val="21"/>
          <w:szCs w:val="21"/>
          <w:u w:val="single"/>
        </w:rPr>
      </w:pPr>
      <w:r>
        <w:rPr>
          <w:rFonts w:hint="eastAsia" w:ascii="微软雅黑" w:hAnsi="微软雅黑" w:eastAsia="微软雅黑" w:cs="微软雅黑"/>
          <w:spacing w:val="2"/>
          <w:sz w:val="21"/>
          <w:szCs w:val="21"/>
          <w:u w:val="single"/>
        </w:rPr>
        <w:t xml:space="preserve">3、由于工程变更使得工程量增减的，按照合同专用条款约定的工程变更计价。</w:t>
      </w:r>
      <w:r>
        <w:rPr>
          <w:rFonts w:ascii="微软雅黑" w:hAnsi="微软雅黑" w:eastAsia="微软雅黑" w:cs="微软雅黑"/>
          <w:spacing w:val="2"/>
          <w:sz w:val="21"/>
          <w:szCs w:val="21"/>
          <w:u w:val="single"/>
        </w:rPr>
      </w:r>
      <w:r/>
    </w:p>
    <w:p>
      <w:pPr>
        <w:pStyle w:val="1047"/>
        <w:spacing w:before="0" w:after="0" w:line="440" w:lineRule="exact"/>
        <w:rPr>
          <w:rFonts w:ascii="微软雅黑" w:hAnsi="微软雅黑" w:cs="微软雅黑"/>
          <w:sz w:val="21"/>
          <w:szCs w:val="21"/>
        </w:rPr>
      </w:pPr>
      <w:r/>
      <w:bookmarkStart w:id="255" w:name="_Toc21517"/>
      <w:r/>
      <w:bookmarkStart w:id="256" w:name="_Toc2888"/>
      <w:r>
        <w:rPr>
          <w:rFonts w:hint="eastAsia" w:ascii="微软雅黑" w:hAnsi="微软雅黑" w:cs="微软雅黑"/>
          <w:sz w:val="21"/>
          <w:szCs w:val="21"/>
        </w:rPr>
        <w:t xml:space="preserve">15 价差调整</w:t>
      </w:r>
      <w:bookmarkEnd w:id="255"/>
      <w:r/>
      <w:bookmarkEnd w:id="256"/>
      <w:r>
        <w:rPr>
          <w:rFonts w:ascii="微软雅黑" w:hAnsi="微软雅黑" w:cs="微软雅黑"/>
          <w:sz w:val="21"/>
          <w:szCs w:val="21"/>
        </w:rPr>
      </w:r>
      <w:r/>
    </w:p>
    <w:p>
      <w:pPr>
        <w:pStyle w:val="1044"/>
        <w:ind w:firstLine="416"/>
        <w:spacing w:line="440" w:lineRule="exact"/>
        <w:rPr>
          <w:rFonts w:ascii="微软雅黑" w:hAnsi="微软雅黑" w:cs="微软雅黑"/>
          <w:b/>
          <w:szCs w:val="21"/>
        </w:rPr>
      </w:pPr>
      <w:r>
        <w:rPr>
          <w:rFonts w:hint="eastAsia" w:ascii="微软雅黑" w:hAnsi="微软雅黑" w:cs="微软雅黑"/>
          <w:b/>
          <w:szCs w:val="21"/>
        </w:rPr>
        <w:t xml:space="preserve">15.1物价波动引起的价差调整</w:t>
      </w:r>
      <w:r>
        <w:rPr>
          <w:rFonts w:ascii="微软雅黑" w:hAnsi="微软雅黑" w:cs="微软雅黑"/>
          <w:b/>
          <w:szCs w:val="21"/>
        </w:rPr>
      </w:r>
      <w:r/>
    </w:p>
    <w:p>
      <w:pPr>
        <w:pStyle w:val="1044"/>
        <w:ind w:firstLine="730"/>
        <w:spacing w:line="440" w:lineRule="exact"/>
        <w:rPr>
          <w:rFonts w:ascii="微软雅黑" w:hAnsi="微软雅黑" w:cs="微软雅黑"/>
          <w:szCs w:val="21"/>
        </w:rPr>
      </w:pPr>
      <w:r>
        <w:rPr>
          <w:rFonts w:hint="eastAsia" w:ascii="微软雅黑" w:hAnsi="微软雅黑" w:cs="微软雅黑"/>
          <w:szCs w:val="21"/>
        </w:rPr>
        <w:t xml:space="preserve"> 不予调整</w:t>
      </w:r>
      <w:r>
        <w:rPr>
          <w:rFonts w:ascii="微软雅黑" w:hAnsi="微软雅黑" w:cs="微软雅黑"/>
          <w:szCs w:val="21"/>
        </w:rPr>
      </w:r>
      <w:r/>
    </w:p>
    <w:p>
      <w:pPr>
        <w:pStyle w:val="1047"/>
        <w:spacing w:before="0" w:after="0" w:line="440" w:lineRule="exact"/>
        <w:rPr>
          <w:rFonts w:ascii="微软雅黑" w:hAnsi="微软雅黑" w:cs="微软雅黑"/>
          <w:sz w:val="21"/>
          <w:szCs w:val="21"/>
        </w:rPr>
      </w:pPr>
      <w:r/>
      <w:bookmarkStart w:id="257" w:name="_Toc26309"/>
      <w:r/>
      <w:bookmarkStart w:id="258" w:name="_Toc1685"/>
      <w:r>
        <w:rPr>
          <w:rFonts w:hint="eastAsia" w:ascii="微软雅黑" w:hAnsi="微软雅黑" w:cs="微软雅黑"/>
          <w:sz w:val="21"/>
          <w:szCs w:val="21"/>
        </w:rPr>
        <w:t xml:space="preserve">16 计价、计量与支付</w:t>
      </w:r>
      <w:bookmarkEnd w:id="257"/>
      <w:r/>
      <w:bookmarkEnd w:id="258"/>
      <w:r>
        <w:rPr>
          <w:rFonts w:ascii="微软雅黑" w:hAnsi="微软雅黑" w:cs="微软雅黑"/>
          <w:sz w:val="21"/>
          <w:szCs w:val="21"/>
        </w:rPr>
      </w:r>
      <w:r/>
    </w:p>
    <w:p>
      <w:pPr>
        <w:pStyle w:val="1044"/>
        <w:ind w:firstLine="103"/>
        <w:spacing w:line="440" w:lineRule="exact"/>
        <w:rPr>
          <w:rFonts w:ascii="微软雅黑" w:hAnsi="微软雅黑" w:cs="微软雅黑"/>
          <w:b/>
          <w:szCs w:val="21"/>
        </w:rPr>
      </w:pPr>
      <w:r>
        <w:rPr>
          <w:rFonts w:hint="eastAsia" w:ascii="微软雅黑" w:hAnsi="微软雅黑" w:cs="微软雅黑"/>
          <w:b/>
          <w:szCs w:val="21"/>
        </w:rPr>
        <w:t xml:space="preserve">   16.1计价</w:t>
      </w:r>
      <w:r>
        <w:rPr>
          <w:rFonts w:ascii="微软雅黑" w:hAnsi="微软雅黑" w:cs="微软雅黑"/>
          <w:b/>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b/>
          <w:szCs w:val="21"/>
        </w:rPr>
        <w:t xml:space="preserve">16.1.1本工程采用计价方式的约定</w:t>
      </w:r>
      <w:r>
        <w:rPr>
          <w:rFonts w:hint="eastAsia" w:ascii="微软雅黑" w:hAnsi="微软雅黑" w:cs="微软雅黑"/>
          <w:szCs w:val="21"/>
        </w:rPr>
        <w:t xml:space="preserve">：</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本次采购内容采用总承包方式，固定单价合同。</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投标报价应是招标文件所确定的招标范围内的全部工作内容的价格体现。其应包括但不限于施工机械、劳务、材料、设备、随设备提供的备品配</w:t>
      </w:r>
      <w:r>
        <w:rPr>
          <w:rFonts w:hint="eastAsia" w:ascii="微软雅黑" w:hAnsi="微软雅黑" w:cs="微软雅黑"/>
          <w:szCs w:val="21"/>
        </w:rPr>
        <w:t xml:space="preserve">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投标人认为需要的其他费用、管理费、利润、保险、规费、税金政策性文件规定及合同明示和暗示所有风险费用以及为完成上述内容所必须的其他措施等全部费用。</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合同价款中包括的风险范围：</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B、措施项目费。措施项目费是指为完成工程项目施工所必须发生的施工准备和施工过程中技术、生活、安全、环境保护等方面的非工程实体项目费用，由总价措施项目费和单价措施项目费、投标人考虑应增加的其它措施费三部分组成。措施项目费用以包干形式计入，无论在合同价中是否单独列出均认为已含在合同价中，结算时与分部分项工程量变化、设计变更、现场签证等无关，不再调整，投标人务必充分考虑此项风险。</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1）总价措施项目费及单价措施项目包括不限于总承包服务费、施工配合费、现场安全文明施工措施费，扬尘覆盖、环境保护费、排污费、地上地下障碍物处理费、夜间施工增加费，甲供或甲控乙供及乙供材料和设备的场内二次搬运费，冬雨季施工增加费，场地限制、环保要求、高（中）考、节假日、市内重大活动期间、省</w:t>
      </w:r>
      <w:r>
        <w:rPr>
          <w:rFonts w:hint="eastAsia" w:ascii="微软雅黑" w:hAnsi="微软雅黑" w:cs="微软雅黑"/>
          <w:szCs w:val="21"/>
        </w:rPr>
        <w:t xml:space="preserve">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疫情防控措施费，特殊条件下施工增加费、超高费、脚手架费用，垂直运输机械费，施工图深化设计费，安装工程措施项目费等等。</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2）总承包服务费及施工配合费。投标人投标报价中应包含与本工程业主另行发包的其他项目的施工单位应收的总承包服务费及施工配合费。投标人无论是否在投标报价中单独列支，招标人均认为此项费用包含在投标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（3）除上述总价措施项目费和单价措施项目费以外，合同价中还包括招标文件、工程量清单和合同条款中包括的其他所有费用等及投标人考虑全面施工本项目时应增加的潜在其它措施费及风险费用等。 </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2、风险范围以外合同价格的调整</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（1）调整范围①经发包人确认的设计变更；②发包人和监理方均认可经审核后的签证； </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（2）调整方法　</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①新增的工程量清单项目的项目特征与投标报价中项目相同的，按投标报价的综合单价计算。</w:t>
      </w:r>
      <w:r>
        <w:rPr>
          <w:rFonts w:ascii="微软雅黑" w:hAnsi="微软雅黑" w:cs="微软雅黑"/>
          <w:szCs w:val="21"/>
        </w:rPr>
      </w:r>
      <w:r/>
    </w:p>
    <w:p>
      <w:pPr>
        <w:pStyle w:val="1044"/>
        <w:ind w:firstLine="420"/>
        <w:jc w:val="left"/>
        <w:spacing w:line="440" w:lineRule="exact"/>
        <w:rPr>
          <w:rFonts w:ascii="微软雅黑" w:hAnsi="微软雅黑" w:cs="微软雅黑"/>
          <w:szCs w:val="21"/>
        </w:rPr>
      </w:pPr>
      <w:r>
        <w:rPr>
          <w:rFonts w:hint="eastAsia" w:ascii="微软雅黑" w:hAnsi="微软雅黑" w:cs="微软雅黑"/>
          <w:szCs w:val="21"/>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监理、跟踪审计审核后报业主确定。</w:t>
      </w:r>
      <w:r>
        <w:rPr>
          <w:rFonts w:ascii="微软雅黑" w:hAnsi="微软雅黑" w:cs="微软雅黑"/>
          <w:szCs w:val="21"/>
        </w:rPr>
      </w:r>
      <w:r/>
    </w:p>
    <w:p>
      <w:pPr>
        <w:pStyle w:val="1044"/>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③投标报价中没有综合单价的新增的工程量清单项目， 新增综合单价按《建设工程工程量清单计价规范》（GB50500-2013）、《江苏省建筑与装饰工程计价定额》（2014）、《江苏省安装工程计价定额》（2014）中的人工、材料、机械台班耗用量、投标报价时的人工、机械台班单价、材料价格（无投标价的材料按当期的南京信息指导价，无信息指导价的材料按施工时期的市场价），并按照投标同等让利幅度确定单价。新增综合单价及材料市场价由承包人提出，经监理、跟踪审计审核后报业主确定。</w:t>
      </w:r>
      <w:r>
        <w:rPr>
          <w:rFonts w:hint="eastAsia" w:ascii="微软雅黑" w:hAnsi="微软雅黑" w:cs="微软雅黑"/>
          <w:szCs w:val="21"/>
        </w:rPr>
      </w:r>
      <w:r/>
    </w:p>
    <w:p>
      <w:pPr>
        <w:pStyle w:val="1047"/>
        <w:spacing w:before="0" w:after="0" w:line="440" w:lineRule="exact"/>
        <w:rPr>
          <w:rFonts w:hint="eastAsia" w:ascii="微软雅黑" w:hAnsi="微软雅黑" w:cs="微软雅黑"/>
          <w:sz w:val="21"/>
          <w:szCs w:val="21"/>
        </w:rPr>
      </w:pPr>
      <w:r/>
      <w:bookmarkStart w:id="259" w:name="_Toc19203"/>
      <w:r/>
      <w:bookmarkStart w:id="260" w:name="_Toc18648"/>
      <w:r>
        <w:rPr>
          <w:rFonts w:hint="eastAsia" w:ascii="微软雅黑" w:hAnsi="微软雅黑" w:cs="微软雅黑"/>
          <w:sz w:val="21"/>
          <w:szCs w:val="21"/>
        </w:rPr>
        <w:t xml:space="preserve">17预付款</w:t>
      </w:r>
      <w:bookmarkEnd w:id="259"/>
      <w:r/>
      <w:bookmarkEnd w:id="260"/>
      <w:r>
        <w:rPr>
          <w:rFonts w:hint="eastAsia" w:ascii="微软雅黑" w:hAnsi="微软雅黑" w:cs="微软雅黑"/>
          <w:sz w:val="21"/>
          <w:szCs w:val="21"/>
        </w:rPr>
      </w:r>
      <w:r/>
    </w:p>
    <w:p>
      <w:pPr>
        <w:pStyle w:val="1044"/>
        <w:ind w:firstLine="480"/>
        <w:spacing w:line="440" w:lineRule="exact"/>
        <w:rPr>
          <w:rFonts w:hint="eastAsia" w:ascii="微软雅黑" w:hAnsi="微软雅黑" w:cs="微软雅黑"/>
          <w:szCs w:val="21"/>
          <w:u w:val="single"/>
        </w:rPr>
      </w:pPr>
      <w:r>
        <w:rPr>
          <w:rFonts w:hint="eastAsia" w:ascii="微软雅黑" w:hAnsi="微软雅黑" w:cs="微软雅黑"/>
          <w:szCs w:val="21"/>
        </w:rPr>
        <w:t xml:space="preserve">1</w:t>
      </w:r>
      <w:r>
        <w:rPr>
          <w:rFonts w:hint="eastAsia" w:ascii="微软雅黑" w:hAnsi="微软雅黑" w:cs="微软雅黑"/>
          <w:b/>
          <w:szCs w:val="21"/>
        </w:rPr>
        <w:t xml:space="preserve">7.1 工程进度付款</w:t>
      </w:r>
      <w:r>
        <w:rPr>
          <w:rFonts w:hint="eastAsia" w:ascii="微软雅黑" w:hAnsi="微软雅黑" w:cs="微软雅黑"/>
          <w:szCs w:val="21"/>
          <w:u w:val="single"/>
        </w:rPr>
      </w:r>
      <w:r/>
    </w:p>
    <w:p>
      <w:pPr>
        <w:pStyle w:val="1044"/>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双方约定的工程款(进度款)支付的方式和时间：</w:t>
      </w:r>
      <w:r>
        <w:rPr>
          <w:rFonts w:hint="eastAsia" w:ascii="微软雅黑" w:hAnsi="微软雅黑" w:cs="微软雅黑"/>
          <w:szCs w:val="21"/>
        </w:rPr>
      </w:r>
      <w:r/>
    </w:p>
    <w:p>
      <w:pPr>
        <w:pStyle w:val="1044"/>
        <w:ind w:firstLine="420"/>
        <w:jc w:val="left"/>
        <w:spacing w:line="440" w:lineRule="exact"/>
        <w:rPr>
          <w:rFonts w:hint="eastAsia" w:ascii="微软雅黑" w:hAnsi="微软雅黑" w:cs="微软雅黑"/>
        </w:rPr>
      </w:pPr>
      <w:r>
        <w:rPr>
          <w:rFonts w:hint="eastAsia" w:ascii="微软雅黑" w:hAnsi="微软雅黑" w:cs="微软雅黑"/>
        </w:rPr>
        <w:t xml:space="preserve">（1）本项目</w:t>
      </w:r>
      <w:r>
        <w:rPr>
          <w:rFonts w:hint="eastAsia" w:ascii="微软雅黑" w:hAnsi="微软雅黑" w:cs="微软雅黑"/>
          <w:lang w:eastAsia="zh-CN"/>
        </w:rPr>
        <w:t xml:space="preserve">发包人</w:t>
      </w:r>
      <w:r>
        <w:rPr>
          <w:rFonts w:hint="eastAsia" w:ascii="微软雅黑" w:hAnsi="微软雅黑" w:cs="微软雅黑"/>
        </w:rPr>
        <w:t xml:space="preserve">在</w:t>
      </w:r>
      <w:r>
        <w:rPr>
          <w:rFonts w:hint="eastAsia" w:ascii="微软雅黑" w:hAnsi="微软雅黑" w:cs="微软雅黑"/>
          <w:lang w:eastAsia="zh-CN"/>
        </w:rPr>
        <w:t xml:space="preserve">承包人</w:t>
      </w:r>
      <w:r>
        <w:rPr>
          <w:rFonts w:hint="eastAsia" w:ascii="微软雅黑" w:hAnsi="微软雅黑" w:cs="微软雅黑"/>
        </w:rPr>
        <w:t xml:space="preserve">进场两周后，</w:t>
      </w:r>
      <w:r>
        <w:rPr>
          <w:rFonts w:hint="eastAsia" w:ascii="微软雅黑" w:hAnsi="微软雅黑" w:cs="微软雅黑"/>
          <w:lang w:eastAsia="zh-CN"/>
        </w:rPr>
        <w:t xml:space="preserve">发包人</w:t>
      </w:r>
      <w:r>
        <w:rPr>
          <w:rFonts w:hint="eastAsia" w:ascii="微软雅黑" w:hAnsi="微软雅黑" w:cs="微软雅黑"/>
        </w:rPr>
        <w:t xml:space="preserve">进度款支付审核完成后，向</w:t>
      </w:r>
      <w:r>
        <w:rPr>
          <w:rFonts w:hint="eastAsia" w:ascii="微软雅黑" w:hAnsi="微软雅黑" w:cs="微软雅黑"/>
          <w:lang w:eastAsia="zh-CN"/>
        </w:rPr>
        <w:t xml:space="preserve">承包人</w:t>
      </w:r>
      <w:r>
        <w:rPr>
          <w:rFonts w:hint="eastAsia" w:ascii="微软雅黑" w:hAnsi="微软雅黑" w:cs="微软雅黑"/>
        </w:rPr>
        <w:t xml:space="preserve">支付合同价（扣除暂列金、暂估价等）的30%作为工程进度款（</w:t>
      </w:r>
      <w:r>
        <w:rPr>
          <w:rFonts w:hint="eastAsia" w:ascii="微软雅黑" w:hAnsi="微软雅黑" w:cs="微软雅黑"/>
          <w:lang w:eastAsia="zh-CN"/>
        </w:rPr>
        <w:t xml:space="preserve">承包人</w:t>
      </w:r>
      <w:r>
        <w:rPr>
          <w:rFonts w:hint="eastAsia" w:ascii="微软雅黑" w:hAnsi="微软雅黑" w:cs="微软雅黑"/>
        </w:rPr>
        <w:t xml:space="preserve">提供当次相应金额的增值税普通发票）；</w:t>
      </w:r>
      <w:r>
        <w:rPr>
          <w:rFonts w:hint="eastAsia" w:ascii="微软雅黑" w:hAnsi="微软雅黑" w:cs="微软雅黑"/>
        </w:rPr>
      </w:r>
      <w:r/>
    </w:p>
    <w:p>
      <w:pPr>
        <w:pStyle w:val="1044"/>
        <w:ind w:firstLine="420"/>
        <w:jc w:val="left"/>
        <w:spacing w:line="440" w:lineRule="exact"/>
        <w:rPr>
          <w:rFonts w:hint="eastAsia" w:ascii="微软雅黑" w:hAnsi="微软雅黑" w:cs="微软雅黑"/>
        </w:rPr>
      </w:pPr>
      <w:r>
        <w:rPr>
          <w:rFonts w:hint="eastAsia" w:ascii="微软雅黑" w:hAnsi="微软雅黑" w:cs="微软雅黑"/>
        </w:rPr>
        <w:t xml:space="preserve">（2）工程完工验收合格送电交付使用，且</w:t>
      </w:r>
      <w:r>
        <w:rPr>
          <w:rFonts w:hint="eastAsia" w:ascii="微软雅黑" w:hAnsi="微软雅黑" w:cs="微软雅黑"/>
          <w:lang w:eastAsia="zh-CN"/>
        </w:rPr>
        <w:t xml:space="preserve">承包人</w:t>
      </w:r>
      <w:r>
        <w:rPr>
          <w:rFonts w:hint="eastAsia" w:ascii="微软雅黑" w:hAnsi="微软雅黑" w:cs="微软雅黑"/>
        </w:rPr>
        <w:t xml:space="preserve">向</w:t>
      </w:r>
      <w:r>
        <w:rPr>
          <w:rFonts w:hint="eastAsia" w:ascii="微软雅黑" w:hAnsi="微软雅黑" w:cs="微软雅黑"/>
          <w:lang w:eastAsia="zh-CN"/>
        </w:rPr>
        <w:t xml:space="preserve">发包人</w:t>
      </w:r>
      <w:r>
        <w:rPr>
          <w:rFonts w:hint="eastAsia" w:ascii="微软雅黑" w:hAnsi="微软雅黑" w:cs="微软雅黑"/>
        </w:rPr>
        <w:t xml:space="preserve">交合格的完整结算资料后，付至合同款（扣除暂列金、暂估价等）的80%（</w:t>
      </w:r>
      <w:r>
        <w:rPr>
          <w:rFonts w:hint="eastAsia" w:ascii="微软雅黑" w:hAnsi="微软雅黑" w:cs="微软雅黑"/>
          <w:lang w:eastAsia="zh-CN"/>
        </w:rPr>
        <w:t xml:space="preserve">承包人</w:t>
      </w:r>
      <w:r>
        <w:rPr>
          <w:rFonts w:hint="eastAsia" w:ascii="微软雅黑" w:hAnsi="微软雅黑" w:cs="微软雅黑"/>
        </w:rPr>
        <w:t xml:space="preserve">提供当次相应金额的增值税普通发票）；</w:t>
      </w:r>
      <w:r>
        <w:rPr>
          <w:rFonts w:hint="eastAsia" w:ascii="微软雅黑" w:hAnsi="微软雅黑" w:cs="微软雅黑"/>
        </w:rPr>
      </w:r>
      <w:r/>
    </w:p>
    <w:p>
      <w:pPr>
        <w:pStyle w:val="1044"/>
        <w:ind w:firstLine="420"/>
        <w:jc w:val="left"/>
        <w:spacing w:line="440" w:lineRule="exact"/>
        <w:rPr>
          <w:rFonts w:hint="eastAsia" w:ascii="微软雅黑" w:hAnsi="微软雅黑" w:cs="微软雅黑"/>
        </w:rPr>
      </w:pPr>
      <w:r>
        <w:rPr>
          <w:rFonts w:hint="eastAsia" w:ascii="微软雅黑" w:hAnsi="微软雅黑" w:cs="微软雅黑"/>
        </w:rPr>
        <w:t xml:space="preserve">（3）结算审计完成后，付至结算审定金额（同时扣除应承担审计费、水电费）的97%；</w:t>
      </w:r>
      <w:r>
        <w:rPr>
          <w:rFonts w:hint="eastAsia" w:ascii="微软雅黑" w:hAnsi="微软雅黑" w:cs="微软雅黑"/>
        </w:rPr>
      </w:r>
      <w:r/>
    </w:p>
    <w:p>
      <w:pPr>
        <w:pStyle w:val="1044"/>
        <w:ind w:firstLine="420"/>
        <w:jc w:val="left"/>
        <w:spacing w:line="440" w:lineRule="exact"/>
        <w:rPr>
          <w:rFonts w:hint="eastAsia" w:ascii="微软雅黑" w:hAnsi="微软雅黑" w:cs="微软雅黑"/>
          <w:szCs w:val="21"/>
        </w:rPr>
      </w:pPr>
      <w:r>
        <w:rPr>
          <w:rFonts w:hint="eastAsia" w:ascii="微软雅黑" w:hAnsi="微软雅黑" w:cs="微软雅黑"/>
        </w:rPr>
        <w:t xml:space="preserve">（4）余款3%，质保期满后，由</w:t>
      </w:r>
      <w:r>
        <w:rPr>
          <w:rFonts w:hint="eastAsia" w:ascii="微软雅黑" w:hAnsi="微软雅黑" w:cs="微软雅黑"/>
          <w:lang w:eastAsia="zh-CN"/>
        </w:rPr>
        <w:t xml:space="preserve">承包人</w:t>
      </w:r>
      <w:r>
        <w:rPr>
          <w:rFonts w:hint="eastAsia" w:ascii="微软雅黑" w:hAnsi="微软雅黑" w:cs="微软雅黑"/>
        </w:rPr>
        <w:t xml:space="preserve">提出申请，</w:t>
      </w:r>
      <w:r>
        <w:rPr>
          <w:rFonts w:hint="eastAsia" w:ascii="微软雅黑" w:hAnsi="微软雅黑" w:cs="微软雅黑"/>
          <w:lang w:eastAsia="zh-CN"/>
        </w:rPr>
        <w:t xml:space="preserve">发包人</w:t>
      </w:r>
      <w:r>
        <w:rPr>
          <w:rFonts w:hint="eastAsia" w:ascii="微软雅黑" w:hAnsi="微软雅黑" w:cs="微软雅黑"/>
        </w:rPr>
        <w:t xml:space="preserve">付清（不计利息）</w:t>
      </w:r>
      <w:r>
        <w:rPr>
          <w:rFonts w:hint="eastAsia" w:ascii="微软雅黑" w:hAnsi="微软雅黑" w:cs="微软雅黑"/>
          <w:szCs w:val="21"/>
        </w:rPr>
        <w:t xml:space="preserve">。</w:t>
      </w:r>
      <w:r>
        <w:rPr>
          <w:rFonts w:hint="eastAsia" w:ascii="微软雅黑" w:hAnsi="微软雅黑" w:cs="微软雅黑"/>
          <w:szCs w:val="21"/>
        </w:rPr>
      </w:r>
      <w:r/>
    </w:p>
    <w:p>
      <w:pPr>
        <w:pStyle w:val="1070"/>
        <w:ind w:left="0"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47"/>
        <w:spacing w:before="0" w:after="0" w:line="440" w:lineRule="exact"/>
        <w:rPr>
          <w:rFonts w:hint="eastAsia" w:ascii="微软雅黑" w:hAnsi="微软雅黑" w:cs="微软雅黑"/>
          <w:sz w:val="21"/>
          <w:szCs w:val="21"/>
        </w:rPr>
      </w:pPr>
      <w:r/>
      <w:bookmarkStart w:id="261" w:name="_Toc18348"/>
      <w:r/>
      <w:bookmarkStart w:id="262" w:name="_Toc15323"/>
      <w:r>
        <w:rPr>
          <w:rFonts w:hint="eastAsia" w:ascii="微软雅黑" w:hAnsi="微软雅黑" w:cs="微软雅黑"/>
          <w:sz w:val="21"/>
          <w:szCs w:val="21"/>
        </w:rPr>
        <w:t xml:space="preserve">18 竣工验收与结算</w:t>
      </w:r>
      <w:bookmarkEnd w:id="261"/>
      <w:r/>
      <w:bookmarkEnd w:id="262"/>
      <w:r>
        <w:rPr>
          <w:rFonts w:hint="eastAsia" w:ascii="微软雅黑" w:hAnsi="微软雅黑" w:cs="微软雅黑"/>
          <w:sz w:val="21"/>
          <w:szCs w:val="21"/>
        </w:rPr>
      </w:r>
      <w:r/>
    </w:p>
    <w:p>
      <w:pPr>
        <w:pStyle w:val="1044"/>
        <w:ind w:firstLine="396"/>
        <w:spacing w:line="440" w:lineRule="exact"/>
        <w:tabs>
          <w:tab w:val="left" w:pos="1440" w:leader="none"/>
        </w:tabs>
        <w:rPr>
          <w:rFonts w:hint="eastAsia" w:ascii="微软雅黑" w:hAnsi="微软雅黑" w:cs="微软雅黑"/>
          <w:b/>
          <w:bCs/>
          <w:spacing w:val="-6"/>
          <w:szCs w:val="21"/>
        </w:rPr>
      </w:pPr>
      <w:r>
        <w:rPr>
          <w:rFonts w:hint="eastAsia" w:ascii="微软雅黑" w:hAnsi="微软雅黑" w:cs="微软雅黑"/>
          <w:b/>
          <w:bCs/>
          <w:spacing w:val="-6"/>
          <w:szCs w:val="21"/>
        </w:rPr>
        <w:t xml:space="preserve">18.1 竣工验收</w:t>
      </w:r>
      <w:r>
        <w:rPr>
          <w:rFonts w:hint="eastAsia" w:ascii="微软雅黑" w:hAnsi="微软雅黑" w:cs="微软雅黑"/>
          <w:b/>
          <w:bCs/>
          <w:spacing w:val="-6"/>
          <w:szCs w:val="21"/>
        </w:rPr>
      </w:r>
      <w:r/>
    </w:p>
    <w:p>
      <w:pPr>
        <w:pStyle w:val="1044"/>
        <w:ind w:firstLine="412"/>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2"/>
          <w:szCs w:val="21"/>
        </w:rPr>
        <w:t xml:space="preserve">18.1.1</w:t>
      </w:r>
      <w:r>
        <w:rPr>
          <w:rFonts w:hint="eastAsia" w:ascii="微软雅黑" w:hAnsi="微软雅黑" w:cs="微软雅黑"/>
          <w:spacing w:val="-6"/>
          <w:szCs w:val="21"/>
        </w:rPr>
        <w:t xml:space="preserve">项目验收时，承包人需提供结算送审价与合同价对比分析的结果，明确变化金额和原因，否则发包人不予通过验收，也不接收结算资料和支付竣工进度款。</w:t>
      </w:r>
      <w:r>
        <w:rPr>
          <w:rFonts w:hint="eastAsia" w:ascii="微软雅黑" w:hAnsi="微软雅黑" w:cs="微软雅黑"/>
          <w:spacing w:val="-6"/>
          <w:szCs w:val="21"/>
        </w:rPr>
      </w:r>
      <w:r/>
    </w:p>
    <w:p>
      <w:pPr>
        <w:pStyle w:val="1044"/>
        <w:ind w:firstLine="396"/>
        <w:spacing w:line="440" w:lineRule="exact"/>
        <w:tabs>
          <w:tab w:val="left" w:pos="1440" w:leader="none"/>
        </w:tabs>
        <w:rPr>
          <w:rFonts w:hint="eastAsia" w:ascii="微软雅黑" w:hAnsi="微软雅黑" w:cs="微软雅黑"/>
          <w:b/>
          <w:bCs/>
          <w:spacing w:val="-6"/>
          <w:szCs w:val="21"/>
        </w:rPr>
      </w:pPr>
      <w:r>
        <w:rPr>
          <w:rFonts w:hint="eastAsia" w:ascii="微软雅黑" w:hAnsi="微软雅黑" w:cs="微软雅黑"/>
          <w:b/>
          <w:bCs/>
          <w:spacing w:val="-6"/>
          <w:szCs w:val="21"/>
        </w:rPr>
        <w:t xml:space="preserve">18.2 竣工结算</w:t>
      </w:r>
      <w:r>
        <w:rPr>
          <w:rFonts w:hint="eastAsia" w:ascii="微软雅黑" w:hAnsi="微软雅黑" w:cs="微软雅黑"/>
          <w:b/>
          <w:bCs/>
          <w:spacing w:val="-6"/>
          <w:szCs w:val="21"/>
        </w:rPr>
      </w:r>
      <w:r/>
    </w:p>
    <w:p>
      <w:pPr>
        <w:pStyle w:val="1073"/>
        <w:ind w:firstLine="396"/>
        <w:spacing w:line="440" w:lineRule="exact"/>
        <w:rPr>
          <w:rFonts w:hint="eastAsia" w:ascii="微软雅黑" w:hAnsi="微软雅黑" w:eastAsia="微软雅黑" w:cs="微软雅黑"/>
          <w:spacing w:val="-6"/>
          <w:sz w:val="21"/>
          <w:szCs w:val="21"/>
        </w:rPr>
      </w:pPr>
      <w:r>
        <w:rPr>
          <w:rFonts w:hint="eastAsia" w:ascii="微软雅黑" w:hAnsi="微软雅黑" w:eastAsia="微软雅黑" w:cs="微软雅黑"/>
          <w:spacing w:val="-6"/>
          <w:sz w:val="21"/>
          <w:szCs w:val="21"/>
        </w:rPr>
        <w:t xml:space="preserve">18.2.1竣工结算必须在竣工资料通过发包人组织的验收或建设行政主管部门备案并移交工程后方可进行。</w:t>
      </w:r>
      <w:r>
        <w:rPr>
          <w:rFonts w:hint="eastAsia" w:ascii="微软雅黑" w:hAnsi="微软雅黑" w:eastAsia="微软雅黑" w:cs="微软雅黑"/>
          <w:spacing w:val="-6"/>
          <w:sz w:val="21"/>
          <w:szCs w:val="21"/>
        </w:rPr>
      </w:r>
      <w:r/>
    </w:p>
    <w:p>
      <w:pPr>
        <w:pStyle w:val="1073"/>
        <w:ind w:firstLine="396"/>
        <w:spacing w:line="440" w:lineRule="exact"/>
        <w:rPr>
          <w:rFonts w:ascii="微软雅黑" w:hAnsi="微软雅黑" w:eastAsia="微软雅黑" w:cs="微软雅黑"/>
          <w:spacing w:val="-6"/>
          <w:sz w:val="21"/>
          <w:szCs w:val="21"/>
        </w:rPr>
      </w:pPr>
      <w:r>
        <w:rPr>
          <w:rFonts w:hint="eastAsia" w:ascii="微软雅黑" w:hAnsi="微软雅黑" w:eastAsia="微软雅黑" w:cs="微软雅黑"/>
          <w:spacing w:val="-6"/>
          <w:sz w:val="21"/>
          <w:szCs w:val="21"/>
        </w:rPr>
        <w:t xml:space="preserve">18.2.2 竣工验收备案后，承包人应按发包人现行有关工程结算审核规定办理竣工结算。在发包人按程序相关审计部门评审后，相关审计部门最终评审结论作为双方结算工程款的有效依据。</w:t>
      </w:r>
      <w:r>
        <w:rPr>
          <w:rFonts w:ascii="微软雅黑" w:hAnsi="微软雅黑" w:eastAsia="微软雅黑" w:cs="微软雅黑"/>
          <w:spacing w:val="-6"/>
          <w:sz w:val="21"/>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18.2.3承包人竣工结算书必须按发包人监察审计部的要求进行编制，同时必须提供工程量计算底稿、完整的变更签证等相关的结算资料。</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18.2.4</w:t>
      </w:r>
      <w:r>
        <w:rPr>
          <w:rFonts w:hint="eastAsia" w:ascii="微软雅黑" w:hAnsi="微软雅黑" w:cs="微软雅黑"/>
          <w:spacing w:val="-6"/>
          <w:szCs w:val="21"/>
        </w:rPr>
        <w:t xml:space="preserve">工程结算资料送发包方审核时，如发现签证资料签证人签字不全，此签证单不得返回补签，按作废处理。</w:t>
      </w:r>
      <w:r>
        <w:rPr>
          <w:rFonts w:hint="eastAsia" w:ascii="微软雅黑" w:hAnsi="微软雅黑" w:cs="微软雅黑"/>
          <w:szCs w:val="21"/>
        </w:rPr>
        <w:t xml:space="preserve">承包人送审的结算书中若有遗漏项目均作为让利给发包人，不作增加调整。</w:t>
      </w:r>
      <w:r>
        <w:rPr>
          <w:rFonts w:ascii="微软雅黑" w:hAnsi="微软雅黑" w:cs="微软雅黑"/>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18.2.5 工程结算方式</w:t>
      </w:r>
      <w:r>
        <w:rPr>
          <w:rFonts w:ascii="微软雅黑" w:hAnsi="微软雅黑" w:cs="微软雅黑"/>
          <w:spacing w:val="-6"/>
          <w:szCs w:val="21"/>
        </w:rPr>
      </w:r>
      <w:r/>
    </w:p>
    <w:p>
      <w:pPr>
        <w:pStyle w:val="1073"/>
        <w:ind w:firstLine="396"/>
        <w:spacing w:line="440" w:lineRule="exact"/>
        <w:rPr>
          <w:rFonts w:ascii="微软雅黑" w:hAnsi="微软雅黑" w:eastAsia="微软雅黑" w:cs="微软雅黑"/>
          <w:spacing w:val="-6"/>
          <w:sz w:val="21"/>
          <w:szCs w:val="21"/>
        </w:rPr>
      </w:pPr>
      <w:r>
        <w:rPr>
          <w:rFonts w:hint="eastAsia" w:ascii="微软雅黑" w:hAnsi="微软雅黑" w:eastAsia="微软雅黑" w:cs="微软雅黑"/>
          <w:spacing w:val="-6"/>
          <w:sz w:val="21"/>
          <w:szCs w:val="21"/>
        </w:rPr>
        <w:t xml:space="preserve">（1）投标单价内已包含安全防护、文明施工措施费、环境保护费、工程排污费、临时设施费等相关费用。如根据政府造价文件规定需计入工程总造价但实际上由发包人代缴的费用，发包人在结算时扣除。如“不可竞争费”中的排污费等。</w:t>
      </w:r>
      <w:r>
        <w:rPr>
          <w:rFonts w:ascii="微软雅黑" w:hAnsi="微软雅黑" w:eastAsia="微软雅黑" w:cs="微软雅黑"/>
          <w:spacing w:val="-6"/>
          <w:sz w:val="21"/>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（2）因物价波动引起的价差变化按合同专用条款第15条调整。</w:t>
      </w:r>
      <w:r>
        <w:rPr>
          <w:rFonts w:ascii="微软雅黑" w:hAnsi="微软雅黑" w:cs="微软雅黑"/>
          <w:spacing w:val="-6"/>
          <w:szCs w:val="21"/>
        </w:rPr>
      </w:r>
      <w:r/>
    </w:p>
    <w:p>
      <w:pPr>
        <w:pStyle w:val="1044"/>
        <w:ind w:firstLine="396"/>
        <w:spacing w:line="440" w:lineRule="exact"/>
        <w:tabs>
          <w:tab w:val="left" w:pos="1440" w:leader="none"/>
        </w:tabs>
        <w:rPr>
          <w:rFonts w:ascii="微软雅黑" w:hAnsi="微软雅黑" w:cs="微软雅黑"/>
          <w:szCs w:val="21"/>
        </w:rPr>
      </w:pPr>
      <w:r>
        <w:rPr>
          <w:rFonts w:hint="eastAsia" w:ascii="微软雅黑" w:hAnsi="微软雅黑" w:cs="微软雅黑"/>
          <w:spacing w:val="-6"/>
          <w:szCs w:val="21"/>
        </w:rPr>
        <w:t xml:space="preserve">（3）</w:t>
      </w:r>
      <w:r>
        <w:rPr>
          <w:rFonts w:hint="eastAsia" w:ascii="微软雅黑" w:hAnsi="微软雅黑" w:cs="微软雅黑"/>
          <w:szCs w:val="21"/>
        </w:rPr>
        <w:t xml:space="preserve">变更工程价款按本合同专用条款第16条执行。</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b/>
          <w:szCs w:val="21"/>
        </w:rPr>
        <w:t xml:space="preserve">18.2.6 </w:t>
      </w:r>
      <w:r>
        <w:rPr>
          <w:rFonts w:hint="eastAsia" w:ascii="微软雅黑" w:hAnsi="微软雅黑" w:cs="微软雅黑"/>
          <w:szCs w:val="21"/>
        </w:rPr>
        <w:t xml:space="preserve">因发包方原因造成的结算延误超过一个月以上，发包方应视情况予以适当拨付工程款。</w:t>
      </w:r>
      <w:r>
        <w:rPr>
          <w:rFonts w:ascii="微软雅黑" w:hAnsi="微软雅黑" w:cs="微软雅黑"/>
          <w:szCs w:val="21"/>
        </w:rPr>
      </w:r>
      <w:r/>
    </w:p>
    <w:p>
      <w:pPr>
        <w:pStyle w:val="1047"/>
        <w:spacing w:before="0" w:after="0" w:line="440" w:lineRule="exact"/>
        <w:rPr>
          <w:rFonts w:ascii="微软雅黑" w:hAnsi="微软雅黑" w:cs="微软雅黑"/>
          <w:sz w:val="21"/>
          <w:szCs w:val="21"/>
        </w:rPr>
      </w:pPr>
      <w:r/>
      <w:bookmarkStart w:id="263" w:name="_Toc16581"/>
      <w:r/>
      <w:bookmarkStart w:id="264" w:name="_Toc19340"/>
      <w:r>
        <w:rPr>
          <w:rFonts w:hint="eastAsia" w:ascii="微软雅黑" w:hAnsi="微软雅黑" w:cs="微软雅黑"/>
          <w:sz w:val="21"/>
          <w:szCs w:val="21"/>
        </w:rPr>
        <w:t xml:space="preserve">19保险和担保</w:t>
      </w:r>
      <w:bookmarkEnd w:id="263"/>
      <w:r/>
      <w:bookmarkEnd w:id="264"/>
      <w:r>
        <w:rPr>
          <w:rFonts w:ascii="微软雅黑" w:hAnsi="微软雅黑" w:cs="微软雅黑"/>
          <w:sz w:val="21"/>
          <w:szCs w:val="21"/>
        </w:rPr>
      </w:r>
      <w:r/>
    </w:p>
    <w:p>
      <w:pPr>
        <w:pStyle w:val="1044"/>
        <w:ind w:firstLine="396"/>
        <w:spacing w:line="440" w:lineRule="exact"/>
        <w:tabs>
          <w:tab w:val="left" w:pos="1440" w:leader="none"/>
        </w:tabs>
        <w:rPr>
          <w:rFonts w:ascii="微软雅黑" w:hAnsi="微软雅黑" w:cs="微软雅黑"/>
          <w:b/>
          <w:spacing w:val="-6"/>
          <w:szCs w:val="21"/>
        </w:rPr>
      </w:pPr>
      <w:r>
        <w:rPr>
          <w:rFonts w:hint="eastAsia" w:ascii="微软雅黑" w:hAnsi="微软雅黑" w:cs="微软雅黑"/>
          <w:b/>
          <w:spacing w:val="-6"/>
          <w:szCs w:val="21"/>
        </w:rPr>
        <w:t xml:space="preserve">19.1 履约担保   无</w:t>
      </w:r>
      <w:r>
        <w:rPr>
          <w:rFonts w:ascii="微软雅黑" w:hAnsi="微软雅黑" w:cs="微软雅黑"/>
          <w:b/>
          <w:spacing w:val="-6"/>
          <w:szCs w:val="21"/>
        </w:rPr>
      </w:r>
      <w:r/>
    </w:p>
    <w:p>
      <w:pPr>
        <w:pStyle w:val="1047"/>
        <w:spacing w:before="0" w:after="0" w:line="440" w:lineRule="exact"/>
        <w:rPr>
          <w:rFonts w:ascii="微软雅黑" w:hAnsi="微软雅黑" w:cs="微软雅黑"/>
          <w:sz w:val="21"/>
          <w:szCs w:val="21"/>
        </w:rPr>
      </w:pPr>
      <w:r/>
      <w:bookmarkStart w:id="265" w:name="_Toc24944"/>
      <w:r/>
      <w:bookmarkStart w:id="266" w:name="_Toc1275"/>
      <w:r>
        <w:rPr>
          <w:rFonts w:hint="eastAsia" w:ascii="微软雅黑" w:hAnsi="微软雅黑" w:cs="微软雅黑"/>
          <w:sz w:val="21"/>
          <w:szCs w:val="21"/>
        </w:rPr>
        <w:t xml:space="preserve">20不可抗力</w:t>
      </w:r>
      <w:bookmarkEnd w:id="265"/>
      <w:r/>
      <w:bookmarkEnd w:id="266"/>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20.1不可抗力的确认</w:t>
      </w:r>
      <w:r>
        <w:rPr>
          <w:rFonts w:ascii="微软雅黑" w:hAnsi="微软雅黑" w:cs="微软雅黑"/>
          <w:b/>
          <w:szCs w:val="21"/>
        </w:rPr>
      </w:r>
      <w:r/>
    </w:p>
    <w:p>
      <w:pPr>
        <w:pStyle w:val="1044"/>
        <w:ind w:firstLine="412"/>
        <w:spacing w:line="440" w:lineRule="exact"/>
        <w:rPr>
          <w:rFonts w:ascii="微软雅黑" w:hAnsi="微软雅黑" w:cs="微软雅黑"/>
          <w:spacing w:val="-6"/>
          <w:szCs w:val="21"/>
        </w:rPr>
      </w:pPr>
      <w:r>
        <w:rPr>
          <w:rFonts w:hint="eastAsia" w:ascii="微软雅黑" w:hAnsi="微软雅黑" w:cs="微软雅黑"/>
          <w:b/>
          <w:szCs w:val="21"/>
        </w:rPr>
        <w:t xml:space="preserve">20.1.1 不可抗力是指：</w:t>
      </w:r>
      <w:r>
        <w:rPr>
          <w:rFonts w:hint="eastAsia" w:ascii="微软雅黑" w:hAnsi="微软雅黑" w:cs="微软雅黑"/>
          <w:spacing w:val="-6"/>
          <w:szCs w:val="21"/>
        </w:rPr>
        <w:t xml:space="preserve">战争、地震、雷击、特大洪水灾害。</w:t>
      </w:r>
      <w:r>
        <w:rPr>
          <w:rFonts w:ascii="微软雅黑" w:hAnsi="微软雅黑" w:cs="微软雅黑"/>
          <w:spacing w:val="-6"/>
          <w:szCs w:val="21"/>
        </w:rPr>
      </w:r>
      <w:r/>
    </w:p>
    <w:p>
      <w:pPr>
        <w:pStyle w:val="1047"/>
        <w:spacing w:before="0" w:after="0" w:line="440" w:lineRule="exact"/>
        <w:rPr>
          <w:rFonts w:ascii="微软雅黑" w:hAnsi="微软雅黑" w:cs="微软雅黑"/>
          <w:sz w:val="21"/>
          <w:szCs w:val="21"/>
        </w:rPr>
      </w:pPr>
      <w:r/>
      <w:bookmarkStart w:id="267" w:name="_Toc21884"/>
      <w:r/>
      <w:bookmarkStart w:id="268" w:name="_Toc12698"/>
      <w:r>
        <w:rPr>
          <w:rFonts w:hint="eastAsia" w:ascii="微软雅黑" w:hAnsi="微软雅黑" w:cs="微软雅黑"/>
          <w:sz w:val="21"/>
          <w:szCs w:val="21"/>
        </w:rPr>
        <w:t xml:space="preserve">21 违约</w:t>
      </w:r>
      <w:bookmarkEnd w:id="267"/>
      <w:r/>
      <w:bookmarkEnd w:id="268"/>
      <w:r>
        <w:rPr>
          <w:rFonts w:ascii="微软雅黑" w:hAnsi="微软雅黑" w:cs="微软雅黑"/>
          <w:sz w:val="21"/>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21.1本合同中关于双方违约的具体责任如下：</w:t>
      </w:r>
      <w:r>
        <w:rPr>
          <w:rFonts w:ascii="微软雅黑" w:hAnsi="微软雅黑" w:cs="微软雅黑"/>
          <w:spacing w:val="-6"/>
          <w:szCs w:val="21"/>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1、</w:t>
      </w:r>
      <w:r>
        <w:rPr>
          <w:rFonts w:hint="eastAsia" w:ascii="微软雅黑" w:hAnsi="微软雅黑" w:cs="微软雅黑"/>
          <w:spacing w:val="-6"/>
          <w:szCs w:val="21"/>
          <w:u w:val="single"/>
        </w:rPr>
        <w:t xml:space="preserve">本工程按合同工期推迟一天交付使用，</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每天按工程总造价 5‰支付违约金，最多不超过总造价20%。</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2、双方约定的承包人其他违约责任：</w:t>
      </w:r>
      <w:r>
        <w:rPr>
          <w:rFonts w:hint="eastAsia" w:ascii="微软雅黑" w:hAnsi="微软雅黑" w:cs="微软雅黑"/>
          <w:spacing w:val="-6"/>
          <w:szCs w:val="21"/>
          <w:u w:val="single"/>
        </w:rPr>
        <w:t xml:space="preserve">因承包人不及时提供结算资料或没能提供合格竣工备案资料，发包人有权不予支付余下的工程款项。</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bCs/>
          <w:spacing w:val="-6"/>
          <w:szCs w:val="21"/>
        </w:rPr>
      </w:pPr>
      <w:r>
        <w:rPr>
          <w:rFonts w:ascii="微软雅黑" w:hAnsi="微软雅黑" w:cs="微软雅黑"/>
          <w:spacing w:val="-6"/>
          <w:szCs w:val="21"/>
        </w:rPr>
        <w:t xml:space="preserve">3</w:t>
      </w:r>
      <w:r>
        <w:rPr>
          <w:rFonts w:hint="eastAsia" w:ascii="微软雅黑" w:hAnsi="微软雅黑" w:cs="微软雅黑"/>
          <w:spacing w:val="-6"/>
          <w:szCs w:val="21"/>
        </w:rPr>
        <w:t xml:space="preserve">、</w:t>
      </w:r>
      <w:r>
        <w:rPr>
          <w:rFonts w:hint="eastAsia" w:ascii="微软雅黑" w:hAnsi="微软雅黑" w:cs="微软雅黑"/>
          <w:bCs/>
          <w:spacing w:val="-6"/>
          <w:szCs w:val="21"/>
          <w:u w:val="single"/>
        </w:rPr>
        <w:t xml:space="preserve">因承包人原因造成工程验收不合格，除承包人必须在一个月内整改至合格外，还必须按要求的工期予以通车，其间发生的维护、维修和交通保障由承包人承担责任。经整改后60天内仍不能达到验收要求的，除按本合同其他条款执行外，视为</w:t>
      </w:r>
      <w:r>
        <w:rPr>
          <w:rFonts w:hint="eastAsia" w:ascii="微软雅黑" w:hAnsi="微软雅黑" w:cs="微软雅黑"/>
          <w:bCs/>
          <w:spacing w:val="-6"/>
          <w:szCs w:val="21"/>
          <w:u w:val="single"/>
          <w:lang w:eastAsia="zh-CN"/>
        </w:rPr>
        <w:t xml:space="preserve">承包人</w:t>
      </w:r>
      <w:r>
        <w:rPr>
          <w:rFonts w:hint="eastAsia" w:ascii="微软雅黑" w:hAnsi="微软雅黑" w:cs="微软雅黑"/>
          <w:bCs/>
          <w:spacing w:val="-6"/>
          <w:szCs w:val="21"/>
          <w:u w:val="single"/>
        </w:rPr>
        <w:t xml:space="preserve">不能完成工作任务，</w:t>
      </w:r>
      <w:r>
        <w:rPr>
          <w:rFonts w:hint="eastAsia" w:ascii="微软雅黑" w:hAnsi="微软雅黑" w:cs="微软雅黑"/>
          <w:bCs/>
          <w:spacing w:val="-6"/>
          <w:szCs w:val="21"/>
          <w:u w:val="single"/>
          <w:lang w:eastAsia="zh-CN"/>
        </w:rPr>
        <w:t xml:space="preserve">发包人</w:t>
      </w:r>
      <w:r>
        <w:rPr>
          <w:rFonts w:hint="eastAsia" w:ascii="微软雅黑" w:hAnsi="微软雅黑" w:cs="微软雅黑"/>
          <w:bCs/>
          <w:spacing w:val="-6"/>
          <w:szCs w:val="21"/>
          <w:u w:val="single"/>
        </w:rPr>
        <w:t xml:space="preserve">有权解除本合同并要求</w:t>
      </w:r>
      <w:r>
        <w:rPr>
          <w:rFonts w:hint="eastAsia" w:ascii="微软雅黑" w:hAnsi="微软雅黑" w:cs="微软雅黑"/>
          <w:bCs/>
          <w:spacing w:val="-6"/>
          <w:szCs w:val="21"/>
          <w:u w:val="single"/>
          <w:lang w:eastAsia="zh-CN"/>
        </w:rPr>
        <w:t xml:space="preserve">发包人</w:t>
      </w:r>
      <w:r>
        <w:rPr>
          <w:rFonts w:hint="eastAsia" w:ascii="微软雅黑" w:hAnsi="微软雅黑" w:cs="微软雅黑"/>
          <w:bCs/>
          <w:spacing w:val="-6"/>
          <w:szCs w:val="21"/>
          <w:u w:val="single"/>
        </w:rPr>
        <w:t xml:space="preserve">返还所支付的工程款，给</w:t>
      </w:r>
      <w:r>
        <w:rPr>
          <w:rFonts w:hint="eastAsia" w:ascii="微软雅黑" w:hAnsi="微软雅黑" w:cs="微软雅黑"/>
          <w:bCs/>
          <w:spacing w:val="-6"/>
          <w:szCs w:val="21"/>
          <w:u w:val="single"/>
          <w:lang w:eastAsia="zh-CN"/>
        </w:rPr>
        <w:t xml:space="preserve">发包人</w:t>
      </w:r>
      <w:r>
        <w:rPr>
          <w:rFonts w:hint="eastAsia" w:ascii="微软雅黑" w:hAnsi="微软雅黑" w:cs="微软雅黑"/>
          <w:bCs/>
          <w:spacing w:val="-6"/>
          <w:szCs w:val="21"/>
          <w:u w:val="single"/>
        </w:rPr>
        <w:t xml:space="preserve">造成损失的，</w:t>
      </w:r>
      <w:r>
        <w:rPr>
          <w:rFonts w:hint="eastAsia" w:ascii="微软雅黑" w:hAnsi="微软雅黑" w:cs="微软雅黑"/>
          <w:bCs/>
          <w:spacing w:val="-6"/>
          <w:szCs w:val="21"/>
          <w:u w:val="single"/>
          <w:lang w:eastAsia="zh-CN"/>
        </w:rPr>
        <w:t xml:space="preserve">承包人</w:t>
      </w:r>
      <w:r>
        <w:rPr>
          <w:rFonts w:hint="eastAsia" w:ascii="微软雅黑" w:hAnsi="微软雅黑" w:cs="微软雅黑"/>
          <w:bCs/>
          <w:spacing w:val="-6"/>
          <w:szCs w:val="21"/>
          <w:u w:val="single"/>
        </w:rPr>
        <w:t xml:space="preserve">还应承担违约责任。</w:t>
      </w:r>
      <w:r>
        <w:rPr>
          <w:rFonts w:ascii="微软雅黑" w:hAnsi="微软雅黑" w:cs="微软雅黑"/>
          <w:bCs/>
          <w:spacing w:val="-6"/>
          <w:szCs w:val="21"/>
        </w:rPr>
      </w:r>
      <w:r/>
    </w:p>
    <w:p>
      <w:pPr>
        <w:pStyle w:val="1070"/>
        <w:ind w:left="0"/>
        <w:spacing w:line="440" w:lineRule="exact"/>
        <w:rPr>
          <w:rFonts w:ascii="微软雅黑" w:hAnsi="微软雅黑" w:cs="微软雅黑"/>
          <w:szCs w:val="21"/>
        </w:rPr>
      </w:pPr>
      <w:r>
        <w:rPr>
          <w:rFonts w:hint="eastAsia" w:ascii="微软雅黑" w:hAnsi="微软雅黑" w:cs="微软雅黑"/>
          <w:szCs w:val="21"/>
        </w:rPr>
        <w:t xml:space="preserve">21.2双方约定的承包人其他违约责任：</w:t>
      </w:r>
      <w:r>
        <w:rPr>
          <w:rFonts w:ascii="微软雅黑" w:hAnsi="微软雅黑" w:cs="微软雅黑"/>
          <w:szCs w:val="21"/>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（4）因承包人原因导致技术文件（包括竣工图纸、签证等）未能按约定时间提交，每迟一天，发包人在支付给承包人的工程款内扣除1000元的违约金。同时并不解除承包人继续交付上述技术文件的义务。</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工程量（含承包人分包工程）的70%给予结算。承包人因合同解除、工程中途退出造成的损失及经济纠纷，由承包人自行承担。合同中另有违约责任承担方式的，按相关约定一并执行。</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6）在质保期内，因承包人原因出现的质量问题，在接到发包人通知后承包人应在最短时间内赶到现场并免费排除。如若发包人在承包人未到之前采取了必要紧急处理措施，其风险及费用由承包人承担。质保期满后，承包人仍应做好服务工作，服务响应时间与保证期内一致，同时备品备件以合理优惠价格供应。</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（7）经发包人和监理验收，若任何一项工程连续发生三次不合格，无论最终整改结果如何，承包人都将承担每次壹万元的违约金，发包人在结算工程款时扣减并有权单方终止合同。</w:t>
      </w:r>
      <w:r>
        <w:rPr>
          <w:rFonts w:ascii="微软雅黑" w:hAnsi="微软雅黑" w:cs="微软雅黑"/>
          <w:szCs w:val="21"/>
          <w:u w:val="single"/>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22.工程分包</w:t>
      </w:r>
      <w:r>
        <w:rPr>
          <w:rFonts w:ascii="微软雅黑" w:hAnsi="微软雅黑" w:cs="微软雅黑"/>
          <w:szCs w:val="21"/>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u w:val="single"/>
        </w:rPr>
        <w:t xml:space="preserve">分包施工单位为：由承包人及发包人共同确定，资质等级符合要求。</w:t>
      </w:r>
      <w:r>
        <w:rPr>
          <w:rFonts w:ascii="微软雅黑" w:hAnsi="微软雅黑" w:cs="微软雅黑"/>
          <w:szCs w:val="21"/>
          <w:u w:val="single"/>
        </w:rPr>
      </w:r>
      <w:r/>
    </w:p>
    <w:p>
      <w:pPr>
        <w:pStyle w:val="1047"/>
        <w:spacing w:before="0" w:after="0" w:line="440" w:lineRule="exact"/>
        <w:rPr>
          <w:rFonts w:ascii="微软雅黑" w:hAnsi="微软雅黑" w:cs="微软雅黑"/>
          <w:sz w:val="21"/>
          <w:szCs w:val="21"/>
        </w:rPr>
      </w:pPr>
      <w:r/>
      <w:bookmarkStart w:id="269" w:name="_Toc10670"/>
      <w:r/>
      <w:bookmarkStart w:id="270" w:name="_Toc18781"/>
      <w:r>
        <w:rPr>
          <w:rFonts w:hint="eastAsia" w:ascii="微软雅黑" w:hAnsi="微软雅黑" w:cs="微软雅黑"/>
          <w:sz w:val="21"/>
          <w:szCs w:val="21"/>
        </w:rPr>
        <w:t xml:space="preserve">23 争议</w:t>
      </w:r>
      <w:bookmarkEnd w:id="269"/>
      <w:r/>
      <w:bookmarkEnd w:id="270"/>
      <w:r>
        <w:rPr>
          <w:rFonts w:ascii="微软雅黑" w:hAnsi="微软雅黑" w:cs="微软雅黑"/>
          <w:sz w:val="21"/>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23.1争议的解决方式</w:t>
      </w:r>
      <w:r>
        <w:rPr>
          <w:rFonts w:ascii="微软雅黑" w:hAnsi="微软雅黑" w:cs="微软雅黑"/>
          <w:b/>
          <w:szCs w:val="21"/>
        </w:rPr>
      </w:r>
      <w:r/>
    </w:p>
    <w:p>
      <w:pPr>
        <w:pStyle w:val="1044"/>
        <w:ind w:firstLine="396"/>
        <w:spacing w:line="440" w:lineRule="exact"/>
        <w:tabs>
          <w:tab w:val="left" w:pos="1440" w:leader="none"/>
        </w:tabs>
        <w:rPr>
          <w:rFonts w:ascii="微软雅黑" w:hAnsi="微软雅黑" w:cs="微软雅黑"/>
          <w:spacing w:val="-6"/>
          <w:szCs w:val="21"/>
        </w:rPr>
      </w:pPr>
      <w:r>
        <w:rPr>
          <w:rFonts w:hint="eastAsia" w:ascii="微软雅黑" w:hAnsi="微软雅黑" w:cs="微软雅黑"/>
          <w:spacing w:val="-6"/>
          <w:szCs w:val="21"/>
        </w:rPr>
        <w:t xml:space="preserve">双方约定，在履行合同过程中产生争议时，依法向工程所在地人民法院提起诉讼。因诉讼产生的相关费用及开支（包括但不限于公证费、诉讼费、保全费、保全担保费、鉴定费、律师费、交通费用）均由败诉方承担。</w:t>
      </w:r>
      <w:r>
        <w:rPr>
          <w:rFonts w:ascii="微软雅黑" w:hAnsi="微软雅黑" w:cs="微软雅黑"/>
          <w:spacing w:val="-6"/>
          <w:szCs w:val="21"/>
        </w:rPr>
      </w:r>
      <w:r/>
    </w:p>
    <w:p>
      <w:pPr>
        <w:pStyle w:val="1047"/>
        <w:spacing w:before="0" w:after="0" w:line="440" w:lineRule="exact"/>
        <w:rPr>
          <w:rFonts w:ascii="微软雅黑" w:hAnsi="微软雅黑" w:cs="微软雅黑"/>
          <w:sz w:val="21"/>
          <w:szCs w:val="21"/>
        </w:rPr>
      </w:pPr>
      <w:r/>
      <w:bookmarkStart w:id="271" w:name="_Toc18207"/>
      <w:r/>
      <w:bookmarkStart w:id="272" w:name="_Toc28047"/>
      <w:r>
        <w:rPr>
          <w:rFonts w:hint="eastAsia" w:ascii="微软雅黑" w:hAnsi="微软雅黑" w:cs="微软雅黑"/>
          <w:sz w:val="21"/>
          <w:szCs w:val="21"/>
        </w:rPr>
        <w:t xml:space="preserve">24 补充条款</w:t>
      </w:r>
      <w:bookmarkEnd w:id="271"/>
      <w:r/>
      <w:bookmarkEnd w:id="272"/>
      <w:r>
        <w:rPr>
          <w:rFonts w:ascii="微软雅黑" w:hAnsi="微软雅黑" w:cs="微软雅黑"/>
          <w:sz w:val="21"/>
          <w:szCs w:val="21"/>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rPr>
        <w:t xml:space="preserve">1）</w:t>
      </w:r>
      <w:r>
        <w:rPr>
          <w:rFonts w:hint="eastAsia" w:ascii="微软雅黑" w:hAnsi="微软雅黑" w:cs="微软雅黑"/>
          <w:spacing w:val="-6"/>
          <w:szCs w:val="21"/>
          <w:u w:val="single"/>
        </w:rPr>
        <w:t xml:space="preserve">承包人须使用有牌照、手续齐全的运输车辆，如因承包人擅自使用黑头车所造成的一切后果由承包人自负。</w:t>
      </w:r>
      <w:r>
        <w:rPr>
          <w:rFonts w:ascii="微软雅黑" w:hAnsi="微软雅黑" w:cs="微软雅黑"/>
          <w:spacing w:val="-6"/>
          <w:szCs w:val="21"/>
          <w:u w:val="single"/>
        </w:rPr>
      </w:r>
      <w:r/>
    </w:p>
    <w:p>
      <w:pPr>
        <w:pStyle w:val="1044"/>
        <w:ind w:firstLine="396"/>
        <w:spacing w:line="440" w:lineRule="exact"/>
        <w:rPr>
          <w:rFonts w:ascii="微软雅黑" w:hAnsi="微软雅黑" w:cs="微软雅黑"/>
          <w:spacing w:val="-6"/>
          <w:szCs w:val="21"/>
          <w:u w:val="single"/>
        </w:rPr>
      </w:pPr>
      <w:r>
        <w:rPr>
          <w:rFonts w:hint="eastAsia" w:ascii="微软雅黑" w:hAnsi="微软雅黑" w:cs="微软雅黑"/>
          <w:spacing w:val="-6"/>
          <w:szCs w:val="21"/>
          <w:u w:val="single"/>
        </w:rPr>
        <w:t xml:space="preserve">2）承包人保证不拖欠民工工资。</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3）承包人在施工中的运输车辆在已建好的道路上行驶时，必须使用翻盖车辆，保证不带泥土出场，如不按要求清洗车轮造成环境污染，城管部门罚款由承包人承担。</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4）本工程要求项目经理本人每周5天，每天8小时在驻守现场，且在工程项目未竣工交付使用前不得更换项目经理。若未经</w:t>
      </w:r>
      <w:r>
        <w:rPr>
          <w:rFonts w:hint="eastAsia" w:ascii="微软雅黑" w:hAnsi="微软雅黑" w:cs="微软雅黑"/>
          <w:spacing w:val="-6"/>
          <w:szCs w:val="21"/>
          <w:u w:val="single"/>
          <w:lang w:eastAsia="zh-CN"/>
        </w:rPr>
        <w:t xml:space="preserve">发包人</w:t>
      </w:r>
      <w:r>
        <w:rPr>
          <w:rFonts w:hint="eastAsia" w:ascii="微软雅黑" w:hAnsi="微软雅黑" w:cs="微软雅黑"/>
          <w:spacing w:val="-6"/>
          <w:szCs w:val="21"/>
          <w:u w:val="single"/>
        </w:rPr>
        <w:t xml:space="preserve">同意</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私自更换项目经理，</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承担5%的违约金。项目经理驻守现场每少一天扣承包人工程款2000元；连续10天不在现场的，</w:t>
      </w:r>
      <w:r>
        <w:rPr>
          <w:rFonts w:hint="eastAsia" w:ascii="微软雅黑" w:hAnsi="微软雅黑" w:cs="微软雅黑"/>
          <w:spacing w:val="-6"/>
          <w:szCs w:val="21"/>
          <w:u w:val="single"/>
          <w:lang w:eastAsia="zh-CN"/>
        </w:rPr>
        <w:t xml:space="preserve">发包人</w:t>
      </w:r>
      <w:r>
        <w:rPr>
          <w:rFonts w:hint="eastAsia" w:ascii="微软雅黑" w:hAnsi="微软雅黑" w:cs="微软雅黑"/>
          <w:spacing w:val="-6"/>
          <w:szCs w:val="21"/>
          <w:u w:val="single"/>
        </w:rPr>
        <w:t xml:space="preserve">有权解除合同，并追究</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不能履约的违约责任。如承包人建造师无法履行合同，则发包方有权进行停工处理，直至解除合同。进场施工人员必须有相应上岗证。</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5）本</w:t>
      </w:r>
      <w:r>
        <w:rPr>
          <w:rFonts w:hint="eastAsia" w:ascii="微软雅黑" w:hAnsi="微软雅黑" w:cs="微软雅黑"/>
          <w:spacing w:val="-6"/>
          <w:szCs w:val="21"/>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7)承包人同意发包人以自己的名义单方委托有相应资质的审计机构（工程造价咨询单位）对本工程作结算审计。承包方在接到审计部门初审意见后7个工作日内没有来核对，或核对缺席时间超过15个工作日的，则不安排本年度的审计，延至下一年度重新安排审计工作。由此带来的损失由承包人承担。</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8)工程所需水、电全部费用均由承包人承担，配电箱、电表、水表由承包人自备。</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水电费结算方式：承包人单独接水、电表的，按实际抄表总数计算水电费，承包人上报并经过相关职能部门审核后，由审计部门在结算审计时扣回；施工现场不能单独接水、电表的，由审计部门结算审计时按照定额内水电费计算扣回；定额内无法明确水电含量时，按照审定价的3‰扣回。</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9_)双方就下列标准承担审计机构的审计费用：审计核减率超过10%的，其审计费用全部由施工单位承担，并由发包人从施工单位工程款中扣除（下同）；审计核减率在8%—10%（含10%）之间的，其审计费用由发包人承担20%，施工单位承担80%；审计核减率在5%—8%（含8%）之间的，其审计费用由施工单位承担20%，发包人承担80%；审计核减率在5%及其以下的，其审计费用由发包人承担。承包人提供的所有资料需满足工程备案要求。</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10）在履行合同过程中，承包人应遵守国家或地方的法律、法规、法令，或任何对工程有管理权的部门的规章，并按要求支付有关费用。</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每逾期一日，</w:t>
      </w:r>
      <w:r>
        <w:rPr>
          <w:rFonts w:hint="eastAsia" w:ascii="微软雅黑" w:hAnsi="微软雅黑" w:cs="微软雅黑"/>
          <w:spacing w:val="-6"/>
          <w:szCs w:val="21"/>
          <w:u w:val="single"/>
          <w:lang w:eastAsia="zh-CN"/>
        </w:rPr>
        <w:t xml:space="preserve">发包人</w:t>
      </w:r>
      <w:r>
        <w:rPr>
          <w:rFonts w:hint="eastAsia" w:ascii="微软雅黑" w:hAnsi="微软雅黑" w:cs="微软雅黑"/>
          <w:spacing w:val="-6"/>
          <w:szCs w:val="21"/>
          <w:u w:val="single"/>
        </w:rPr>
        <w:t xml:space="preserve">按每日5000元收取</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违约金。</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w:t>
      </w:r>
      <w:r>
        <w:rPr>
          <w:rFonts w:hint="eastAsia" w:ascii="微软雅黑" w:hAnsi="微软雅黑" w:cs="微软雅黑"/>
          <w:spacing w:val="-6"/>
          <w:szCs w:val="21"/>
          <w:u w:val="single"/>
          <w:lang w:eastAsia="zh-CN"/>
        </w:rPr>
        <w:t xml:space="preserve">发包人</w:t>
      </w:r>
      <w:r>
        <w:rPr>
          <w:rFonts w:hint="eastAsia" w:ascii="微软雅黑" w:hAnsi="微软雅黑" w:cs="微软雅黑"/>
          <w:spacing w:val="-6"/>
          <w:szCs w:val="21"/>
          <w:u w:val="single"/>
        </w:rPr>
        <w:t xml:space="preserve">有权责令停工整顿，停工时间算在工期内，工期不作顺延。如遇特殊情况，</w:t>
      </w:r>
      <w:r>
        <w:rPr>
          <w:rFonts w:hint="eastAsia" w:ascii="微软雅黑" w:hAnsi="微软雅黑" w:cs="微软雅黑"/>
          <w:spacing w:val="-6"/>
          <w:szCs w:val="21"/>
          <w:u w:val="single"/>
          <w:lang w:eastAsia="zh-CN"/>
        </w:rPr>
        <w:t xml:space="preserve">发包人</w:t>
      </w:r>
      <w:r>
        <w:rPr>
          <w:rFonts w:hint="eastAsia" w:ascii="微软雅黑" w:hAnsi="微软雅黑" w:cs="微软雅黑"/>
          <w:spacing w:val="-6"/>
          <w:szCs w:val="21"/>
          <w:u w:val="single"/>
        </w:rPr>
        <w:t xml:space="preserve">将限制施工车辆进出，施工噪音较大工序，应适当停工。</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b/>
          <w:spacing w:val="-6"/>
          <w:szCs w:val="21"/>
          <w:u w:val="single"/>
        </w:rPr>
      </w:pPr>
      <w:r>
        <w:rPr>
          <w:rFonts w:hint="eastAsia" w:ascii="微软雅黑" w:hAnsi="微软雅黑" w:cs="微软雅黑"/>
          <w:spacing w:val="-6"/>
          <w:szCs w:val="21"/>
        </w:rPr>
        <w:t xml:space="preserve">14）</w:t>
      </w:r>
      <w:r>
        <w:rPr>
          <w:rFonts w:hint="eastAsia" w:ascii="微软雅黑" w:hAnsi="微软雅黑" w:cs="微软雅黑"/>
          <w:spacing w:val="-6"/>
          <w:szCs w:val="21"/>
          <w:u w:val="single"/>
        </w:rPr>
        <w:t xml:space="preserve">承包人根据</w:t>
      </w:r>
      <w:r>
        <w:rPr>
          <w:rFonts w:hint="eastAsia" w:ascii="微软雅黑" w:hAnsi="微软雅黑" w:cs="微软雅黑"/>
          <w:spacing w:val="-6"/>
          <w:szCs w:val="21"/>
          <w:u w:val="single"/>
          <w:lang w:eastAsia="zh-CN"/>
        </w:rPr>
        <w:t xml:space="preserve">发包人</w:t>
      </w:r>
      <w:r>
        <w:rPr>
          <w:rFonts w:hint="eastAsia" w:ascii="微软雅黑" w:hAnsi="微软雅黑" w:cs="微软雅黑"/>
          <w:spacing w:val="-6"/>
          <w:szCs w:val="21"/>
          <w:u w:val="single"/>
        </w:rPr>
        <w:t xml:space="preserve">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微软雅黑" w:hAnsi="微软雅黑" w:cs="微软雅黑"/>
          <w:szCs w:val="21"/>
          <w:u w:val="single"/>
        </w:rPr>
        <w:t xml:space="preserve">施工前和施工后工程量测量数据请发包人（或者现场监理）签字确认，结算时提供工程量计算明细并附带经发包人确认的原始测量记录，工程量按实调整。</w:t>
      </w:r>
      <w:r>
        <w:rPr>
          <w:rFonts w:ascii="微软雅黑" w:hAnsi="微软雅黑" w:cs="微软雅黑"/>
          <w:b/>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15）合同款包含为保证施工期间工作人员、财产安全所采取的一切必要措施的费用。</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16）由于施工带来的投诉、行政处罚、罚款等责任及后果均由</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全权负责。</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17）通用条款与专用条款不一致时，以专用条款为准。</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pacing w:val="-6"/>
          <w:szCs w:val="21"/>
          <w:u w:val="single"/>
        </w:rPr>
      </w:pPr>
      <w:r>
        <w:rPr>
          <w:rFonts w:hint="eastAsia" w:ascii="微软雅黑" w:hAnsi="微软雅黑" w:cs="微软雅黑"/>
          <w:spacing w:val="-6"/>
          <w:szCs w:val="21"/>
          <w:u w:val="single"/>
        </w:rPr>
        <w:t xml:space="preserve">18）本次招标范围为暂定，投标人中标后，业主根据工程实际情况有权对工程量清单进行调整，中标人对此不得提出任何异议和费用索赔要求。</w:t>
      </w:r>
      <w:r>
        <w:rPr>
          <w:rFonts w:ascii="微软雅黑" w:hAnsi="微软雅黑" w:cs="微软雅黑"/>
          <w:spacing w:val="-6"/>
          <w:szCs w:val="21"/>
          <w:u w:val="single"/>
        </w:rPr>
      </w:r>
      <w:r/>
    </w:p>
    <w:p>
      <w:pPr>
        <w:pStyle w:val="1044"/>
        <w:ind w:firstLine="396"/>
        <w:spacing w:line="440" w:lineRule="exact"/>
        <w:tabs>
          <w:tab w:val="left" w:pos="1440" w:leader="none"/>
        </w:tabs>
        <w:rPr>
          <w:rFonts w:ascii="微软雅黑" w:hAnsi="微软雅黑" w:cs="微软雅黑"/>
          <w:szCs w:val="21"/>
        </w:rPr>
      </w:pPr>
      <w:r>
        <w:rPr>
          <w:rFonts w:hint="eastAsia" w:ascii="微软雅黑" w:hAnsi="微软雅黑" w:cs="微软雅黑"/>
          <w:spacing w:val="-6"/>
          <w:szCs w:val="21"/>
          <w:u w:val="single"/>
        </w:rPr>
        <w:t xml:space="preserve">19）</w:t>
      </w:r>
      <w:r>
        <w:rPr>
          <w:rFonts w:hint="eastAsia" w:ascii="微软雅黑" w:hAnsi="微软雅黑" w:cs="微软雅黑"/>
          <w:szCs w:val="21"/>
        </w:rPr>
        <w:t xml:space="preserve">本项目涉及的楼宇施工单位必须保证项目相关师生员工的人身及财产的安全，包括但不限于以下方面投标人已于投标时给予充分考虑：</w:t>
      </w:r>
      <w:r>
        <w:rPr>
          <w:rFonts w:ascii="微软雅黑" w:hAnsi="微软雅黑" w:cs="微软雅黑"/>
          <w:szCs w:val="21"/>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（1）中标企业要充分考虑实际情况，合理调配施工人员和进度，确保按时完工。施工区域和时间由</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现场管理人员和监理确定，施工方必须无条件服从。</w:t>
      </w:r>
      <w:r>
        <w:rPr>
          <w:rFonts w:ascii="微软雅黑" w:hAnsi="微软雅黑" w:cs="微软雅黑"/>
          <w:szCs w:val="21"/>
          <w:u w:val="single"/>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（2）投标时应充分考虑工程施工时对周边绿化、设备、建筑、居民等的保护，保护费用应包含在报价中。</w:t>
      </w:r>
      <w:r>
        <w:rPr>
          <w:rFonts w:ascii="微软雅黑" w:hAnsi="微软雅黑" w:cs="微软雅黑"/>
          <w:szCs w:val="21"/>
          <w:u w:val="single"/>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现场管理人员确定，施工方必须无条件服从。</w:t>
      </w:r>
      <w:r>
        <w:rPr>
          <w:rFonts w:ascii="微软雅黑" w:hAnsi="微软雅黑" w:cs="微软雅黑"/>
          <w:szCs w:val="21"/>
          <w:u w:val="single"/>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rPr>
          <w:rFonts w:ascii="微软雅黑" w:hAnsi="微软雅黑" w:cs="微软雅黑"/>
          <w:szCs w:val="21"/>
          <w:u w:val="single"/>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（5）中标单位须提前熟悉本楼宇及周边情况，进场前须对施工方案根据现场情况和</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要求进行调整，调整过程要与</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共同商讨，并经</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批准后施工，且必须严格按批准的方案执行，服从</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管理。中标单位按照施工技术要求，在进入下一环节或程序前，通知招标人、监理方进行中间验收，没有通过验收或未通过招标人认可不可进入程序，否则由此带来的损失由中标单位承担。招标人、监理人有权随时进行任何部位的中间环节的验收。</w:t>
      </w:r>
      <w:r>
        <w:rPr>
          <w:rFonts w:ascii="微软雅黑" w:hAnsi="微软雅黑" w:cs="微软雅黑"/>
          <w:szCs w:val="21"/>
          <w:u w:val="single"/>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（6）本项目中的垃圾须清运出校，包括但不限于垃圾装袋及可能发生的二次搬运费用，投标人根据现场踏勘情况自行考虑，计入总投标报价，结算时不调整。若因垃圾处理产生的任何责任及费用均由</w:t>
      </w:r>
      <w:r>
        <w:rPr>
          <w:rFonts w:hint="eastAsia" w:ascii="微软雅黑" w:hAnsi="微软雅黑" w:cs="微软雅黑"/>
          <w:szCs w:val="21"/>
          <w:u w:val="single"/>
          <w:lang w:eastAsia="zh-CN"/>
        </w:rPr>
        <w:t xml:space="preserve">承包人</w:t>
      </w:r>
      <w:r>
        <w:rPr>
          <w:rFonts w:hint="eastAsia" w:ascii="微软雅黑" w:hAnsi="微软雅黑" w:cs="微软雅黑"/>
          <w:szCs w:val="21"/>
          <w:u w:val="single"/>
        </w:rPr>
        <w:t xml:space="preserve">全权负责。</w:t>
      </w:r>
      <w:r>
        <w:rPr>
          <w:rFonts w:ascii="微软雅黑" w:hAnsi="微软雅黑" w:cs="微软雅黑"/>
          <w:szCs w:val="21"/>
          <w:u w:val="single"/>
        </w:rPr>
      </w:r>
      <w:r/>
    </w:p>
    <w:p>
      <w:pPr>
        <w:pStyle w:val="1044"/>
        <w:ind w:firstLine="561"/>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（7）</w:t>
      </w:r>
      <w:r>
        <w:rPr>
          <w:rFonts w:hint="eastAsia" w:ascii="微软雅黑" w:hAnsi="微软雅黑" w:cs="微软雅黑"/>
          <w:spacing w:val="-6"/>
          <w:szCs w:val="21"/>
          <w:u w:val="single"/>
          <w:lang w:eastAsia="zh-CN"/>
        </w:rPr>
        <w:t xml:space="preserve">承包人</w:t>
      </w:r>
      <w:r>
        <w:rPr>
          <w:rFonts w:hint="eastAsia" w:ascii="微软雅黑" w:hAnsi="微软雅黑" w:cs="微软雅黑"/>
          <w:spacing w:val="-6"/>
          <w:szCs w:val="21"/>
          <w:u w:val="single"/>
        </w:rPr>
        <w:t xml:space="preserve">已充分了解现场实际情况后进行报价，</w:t>
      </w:r>
      <w:r>
        <w:rPr>
          <w:rFonts w:hint="eastAsia" w:ascii="微软雅黑" w:hAnsi="微软雅黑" w:cs="微软雅黑"/>
          <w:szCs w:val="21"/>
          <w:u w:val="single"/>
        </w:rPr>
        <w:t xml:space="preserve">拆除费、措施费（垂直运输、吊篮等）、施工护栏、临时设施费含在报价内，结算时不调整。另规费、税金含在报价内。工程量清单中计量单位为项的项目，一次性报价，结算时不调整。</w:t>
      </w:r>
      <w:r>
        <w:rPr>
          <w:rFonts w:ascii="微软雅黑" w:hAnsi="微软雅黑" w:cs="微软雅黑"/>
          <w:szCs w:val="21"/>
          <w:u w:val="single"/>
        </w:rPr>
      </w:r>
      <w:r/>
    </w:p>
    <w:p>
      <w:pPr>
        <w:pStyle w:val="1044"/>
        <w:ind w:firstLine="560"/>
        <w:spacing w:line="440" w:lineRule="exact"/>
        <w:tabs>
          <w:tab w:val="left" w:pos="1002" w:leader="none"/>
        </w:tabs>
        <w:rPr>
          <w:rFonts w:ascii="微软雅黑" w:hAnsi="微软雅黑" w:cs="微软雅黑"/>
          <w:szCs w:val="21"/>
          <w:u w:val="single"/>
        </w:rPr>
      </w:pPr>
      <w:r>
        <w:rPr>
          <w:rFonts w:hint="eastAsia" w:ascii="微软雅黑" w:hAnsi="微软雅黑" w:cs="微软雅黑"/>
          <w:szCs w:val="21"/>
          <w:u w:val="single"/>
        </w:rPr>
        <w:t xml:space="preserve">（8）在进场前及施工期间，</w:t>
      </w:r>
      <w:r>
        <w:rPr>
          <w:rFonts w:hint="eastAsia" w:ascii="微软雅黑" w:hAnsi="微软雅黑" w:cs="微软雅黑"/>
          <w:szCs w:val="21"/>
          <w:u w:val="single"/>
          <w:lang w:eastAsia="zh-CN"/>
        </w:rPr>
        <w:t xml:space="preserve">承包人</w:t>
      </w:r>
      <w:r>
        <w:rPr>
          <w:rFonts w:hint="eastAsia" w:ascii="微软雅黑" w:hAnsi="微软雅黑" w:cs="微软雅黑"/>
          <w:szCs w:val="21"/>
          <w:u w:val="single"/>
        </w:rPr>
        <w:t xml:space="preserve">可能须与其他施工单位相互配合、互相协调，做好工程间的衔接，由此产生的相关费用由</w:t>
      </w:r>
      <w:r>
        <w:rPr>
          <w:rFonts w:hint="eastAsia" w:ascii="微软雅黑" w:hAnsi="微软雅黑" w:cs="微软雅黑"/>
          <w:szCs w:val="21"/>
          <w:u w:val="single"/>
          <w:lang w:eastAsia="zh-CN"/>
        </w:rPr>
        <w:t xml:space="preserve">承包人</w:t>
      </w:r>
      <w:r>
        <w:rPr>
          <w:rFonts w:hint="eastAsia" w:ascii="微软雅黑" w:hAnsi="微软雅黑" w:cs="微软雅黑"/>
          <w:szCs w:val="21"/>
          <w:u w:val="single"/>
        </w:rPr>
        <w:t xml:space="preserve">在投标报价时充分考虑，结算时</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不再支付该费用，配合内容由</w:t>
      </w:r>
      <w:r>
        <w:rPr>
          <w:rFonts w:hint="eastAsia" w:ascii="微软雅黑" w:hAnsi="微软雅黑" w:cs="微软雅黑"/>
          <w:szCs w:val="21"/>
          <w:u w:val="single"/>
          <w:lang w:eastAsia="zh-CN"/>
        </w:rPr>
        <w:t xml:space="preserve">发包人</w:t>
      </w:r>
      <w:r>
        <w:rPr>
          <w:rFonts w:hint="eastAsia" w:ascii="微软雅黑" w:hAnsi="微软雅黑" w:cs="微软雅黑"/>
          <w:szCs w:val="21"/>
          <w:u w:val="single"/>
        </w:rPr>
        <w:t xml:space="preserve">管理人员和监理人员共同确定，</w:t>
      </w:r>
      <w:r>
        <w:rPr>
          <w:rFonts w:hint="eastAsia" w:ascii="微软雅黑" w:hAnsi="微软雅黑" w:cs="微软雅黑"/>
          <w:szCs w:val="21"/>
          <w:u w:val="single"/>
          <w:lang w:eastAsia="zh-CN"/>
        </w:rPr>
        <w:t xml:space="preserve">承包人</w:t>
      </w:r>
      <w:r>
        <w:rPr>
          <w:rFonts w:hint="eastAsia" w:ascii="微软雅黑" w:hAnsi="微软雅黑" w:cs="微软雅黑"/>
          <w:szCs w:val="21"/>
          <w:u w:val="single"/>
        </w:rPr>
        <w:t xml:space="preserve">须无条件接受。</w:t>
      </w:r>
      <w:r>
        <w:rPr>
          <w:rFonts w:ascii="微软雅黑" w:hAnsi="微软雅黑" w:cs="微软雅黑"/>
          <w:szCs w:val="21"/>
          <w:u w:val="single"/>
        </w:rPr>
      </w:r>
      <w:r/>
    </w:p>
    <w:p>
      <w:pPr>
        <w:pStyle w:val="1070"/>
        <w:ind w:left="1260"/>
        <w:rPr>
          <w:rFonts w:hint="eastAsia"/>
        </w:rPr>
      </w:pPr>
      <w:r>
        <w:rPr>
          <w:rFonts w:hint="eastAsia"/>
        </w:rPr>
      </w:r>
      <w:r/>
    </w:p>
    <w:p>
      <w:pPr>
        <w:pStyle w:val="1047"/>
        <w:spacing w:before="0" w:after="0" w:line="440" w:lineRule="exact"/>
        <w:rPr>
          <w:rFonts w:ascii="微软雅黑" w:hAnsi="微软雅黑" w:cs="微软雅黑"/>
          <w:sz w:val="21"/>
          <w:szCs w:val="21"/>
        </w:rPr>
      </w:pPr>
      <w:r/>
      <w:bookmarkStart w:id="273" w:name="_Toc9560"/>
      <w:r/>
      <w:bookmarkStart w:id="274" w:name="_Toc27584"/>
      <w:r>
        <w:rPr>
          <w:rFonts w:hint="eastAsia" w:ascii="微软雅黑" w:hAnsi="微软雅黑" w:cs="微软雅黑"/>
          <w:sz w:val="21"/>
          <w:szCs w:val="21"/>
        </w:rPr>
        <w:t xml:space="preserve">24 工程建设农民工资保障金支付及扣回</w:t>
      </w:r>
      <w:bookmarkEnd w:id="273"/>
      <w:r/>
      <w:bookmarkEnd w:id="274"/>
      <w:r>
        <w:rPr>
          <w:rFonts w:ascii="微软雅黑" w:hAnsi="微软雅黑" w:cs="微软雅黑"/>
          <w:sz w:val="21"/>
          <w:szCs w:val="21"/>
        </w:rPr>
      </w:r>
      <w:r/>
    </w:p>
    <w:p>
      <w:pPr>
        <w:pStyle w:val="1044"/>
        <w:ind w:firstLine="396"/>
        <w:spacing w:line="440" w:lineRule="exact"/>
        <w:rPr>
          <w:rFonts w:ascii="微软雅黑" w:hAnsi="微软雅黑" w:cs="微软雅黑"/>
          <w:spacing w:val="-6"/>
          <w:szCs w:val="21"/>
        </w:rPr>
      </w:pPr>
      <w:r>
        <w:rPr>
          <w:rFonts w:hint="eastAsia" w:ascii="微软雅黑" w:hAnsi="微软雅黑" w:cs="微软雅黑"/>
          <w:spacing w:val="-6"/>
          <w:szCs w:val="21"/>
        </w:rPr>
        <w:t xml:space="preserve">24．1承包人根据江苏省、南京市劳动保障部门颁发的文件精神，保证此款项全部用于支付农民工工资。 </w:t>
      </w:r>
      <w:r>
        <w:rPr>
          <w:rFonts w:ascii="微软雅黑" w:hAnsi="微软雅黑" w:cs="微软雅黑"/>
          <w:spacing w:val="-6"/>
          <w:szCs w:val="21"/>
        </w:rPr>
      </w:r>
      <w:r/>
    </w:p>
    <w:p>
      <w:pPr>
        <w:pStyle w:val="1047"/>
        <w:spacing w:before="0" w:after="0" w:line="440" w:lineRule="exact"/>
        <w:rPr>
          <w:rFonts w:ascii="微软雅黑" w:hAnsi="微软雅黑" w:cs="微软雅黑"/>
          <w:sz w:val="21"/>
          <w:szCs w:val="21"/>
        </w:rPr>
      </w:pPr>
      <w:r/>
      <w:bookmarkStart w:id="275" w:name="_Toc26906"/>
      <w:r/>
      <w:bookmarkStart w:id="276" w:name="_Toc6428"/>
      <w:r>
        <w:rPr>
          <w:rFonts w:hint="eastAsia" w:ascii="微软雅黑" w:hAnsi="微软雅黑" w:cs="微软雅黑"/>
          <w:sz w:val="21"/>
          <w:szCs w:val="21"/>
        </w:rPr>
        <w:t xml:space="preserve">25 安全防护、文明施工措施费支付计划</w:t>
      </w:r>
      <w:bookmarkEnd w:id="275"/>
      <w:r/>
      <w:bookmarkEnd w:id="276"/>
      <w:r>
        <w:rPr>
          <w:rFonts w:ascii="微软雅黑" w:hAnsi="微软雅黑" w:cs="微软雅黑"/>
          <w:sz w:val="21"/>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承包人在工程正式开工前完成如下正式工作：</w:t>
      </w:r>
      <w:r>
        <w:rPr>
          <w:rFonts w:ascii="微软雅黑" w:hAnsi="微软雅黑" w:cs="微软雅黑"/>
          <w:szCs w:val="21"/>
        </w:rPr>
      </w:r>
      <w:r/>
    </w:p>
    <w:p>
      <w:pPr>
        <w:pStyle w:val="1044"/>
        <w:ind w:firstLine="645"/>
        <w:spacing w:line="440" w:lineRule="exact"/>
        <w:rPr>
          <w:rFonts w:ascii="微软雅黑" w:hAnsi="微软雅黑" w:cs="微软雅黑"/>
          <w:szCs w:val="21"/>
        </w:rPr>
      </w:pPr>
      <w:r>
        <w:rPr>
          <w:rFonts w:hint="eastAsia" w:ascii="微软雅黑" w:hAnsi="微软雅黑" w:cs="微软雅黑"/>
          <w:szCs w:val="21"/>
        </w:rPr>
        <w:t xml:space="preserve">1、安全警示标志牌；</w:t>
      </w:r>
      <w:r>
        <w:rPr>
          <w:rFonts w:ascii="微软雅黑" w:hAnsi="微软雅黑" w:cs="微软雅黑"/>
          <w:szCs w:val="21"/>
        </w:rPr>
      </w:r>
      <w:r/>
    </w:p>
    <w:p>
      <w:pPr>
        <w:pStyle w:val="1044"/>
        <w:ind w:firstLine="525"/>
        <w:spacing w:line="440" w:lineRule="exact"/>
        <w:rPr>
          <w:rFonts w:ascii="微软雅黑" w:hAnsi="微软雅黑" w:cs="微软雅黑"/>
          <w:szCs w:val="21"/>
        </w:rPr>
      </w:pPr>
      <w:r>
        <w:rPr>
          <w:rFonts w:hint="eastAsia" w:ascii="微软雅黑" w:hAnsi="微软雅黑" w:cs="微软雅黑"/>
          <w:szCs w:val="21"/>
        </w:rPr>
        <w:t xml:space="preserve">2、施工现场围挡（采用封闭围挡，高度不低于1.8米，材料采用彩色定型钢板、砖、混凝土砌块等墙体）；</w:t>
      </w:r>
      <w:r>
        <w:rPr>
          <w:rFonts w:ascii="微软雅黑" w:hAnsi="微软雅黑" w:cs="微软雅黑"/>
          <w:szCs w:val="21"/>
        </w:rPr>
      </w:r>
      <w:r/>
    </w:p>
    <w:p>
      <w:pPr>
        <w:pStyle w:val="1044"/>
        <w:ind w:firstLine="645"/>
        <w:spacing w:line="440" w:lineRule="exact"/>
        <w:rPr>
          <w:rFonts w:ascii="微软雅黑" w:hAnsi="微软雅黑" w:cs="微软雅黑"/>
          <w:szCs w:val="21"/>
        </w:rPr>
      </w:pPr>
      <w:r>
        <w:rPr>
          <w:rFonts w:hint="eastAsia" w:ascii="微软雅黑" w:hAnsi="微软雅黑" w:cs="微软雅黑"/>
          <w:szCs w:val="21"/>
        </w:rPr>
        <w:t xml:space="preserve">3、五牌一图；</w:t>
      </w:r>
      <w:r>
        <w:rPr>
          <w:rFonts w:ascii="微软雅黑" w:hAnsi="微软雅黑" w:cs="微软雅黑"/>
          <w:szCs w:val="21"/>
        </w:rPr>
      </w:r>
      <w:r/>
    </w:p>
    <w:p>
      <w:pPr>
        <w:pStyle w:val="1044"/>
        <w:ind w:firstLine="645"/>
        <w:spacing w:line="440" w:lineRule="exact"/>
        <w:rPr>
          <w:rFonts w:ascii="微软雅黑" w:hAnsi="微软雅黑" w:cs="微软雅黑"/>
          <w:szCs w:val="21"/>
        </w:rPr>
      </w:pPr>
      <w:r>
        <w:rPr>
          <w:rFonts w:hint="eastAsia" w:ascii="微软雅黑" w:hAnsi="微软雅黑" w:cs="微软雅黑"/>
          <w:szCs w:val="21"/>
        </w:rPr>
        <w:t xml:space="preserve">4、施工现场办公、生活临时设施；</w:t>
      </w:r>
      <w:r>
        <w:rPr>
          <w:rFonts w:ascii="微软雅黑" w:hAnsi="微软雅黑" w:cs="微软雅黑"/>
          <w:szCs w:val="21"/>
        </w:rPr>
      </w:r>
      <w:r/>
    </w:p>
    <w:p>
      <w:pPr>
        <w:pStyle w:val="1044"/>
        <w:ind w:firstLine="645"/>
        <w:spacing w:line="440" w:lineRule="exact"/>
        <w:rPr>
          <w:rFonts w:ascii="微软雅黑" w:hAnsi="微软雅黑" w:cs="微软雅黑"/>
          <w:szCs w:val="21"/>
        </w:rPr>
      </w:pPr>
      <w:r>
        <w:rPr>
          <w:rFonts w:hint="eastAsia" w:ascii="微软雅黑" w:hAnsi="微软雅黑" w:cs="微软雅黑"/>
          <w:szCs w:val="21"/>
        </w:rPr>
        <w:t xml:space="preserve">5、施工现场临时用电及给排水。</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附件1：</w:t>
      </w:r>
      <w:r>
        <w:rPr>
          <w:rFonts w:ascii="微软雅黑" w:hAnsi="微软雅黑" w:cs="微软雅黑"/>
          <w:szCs w:val="21"/>
        </w:rPr>
      </w:r>
      <w:r/>
    </w:p>
    <w:p>
      <w:pPr>
        <w:pStyle w:val="1044"/>
        <w:ind w:firstLine="435"/>
        <w:jc w:val="center"/>
        <w:spacing w:line="440" w:lineRule="exact"/>
        <w:rPr>
          <w:rFonts w:ascii="微软雅黑" w:hAnsi="微软雅黑" w:cs="微软雅黑"/>
          <w:szCs w:val="21"/>
        </w:rPr>
      </w:pPr>
      <w:r>
        <w:rPr>
          <w:rFonts w:hint="eastAsia" w:ascii="微软雅黑" w:hAnsi="微软雅黑" w:cs="微软雅黑"/>
          <w:szCs w:val="21"/>
        </w:rPr>
        <w:t xml:space="preserve">工 程 质 量 保 修 书</w:t>
      </w:r>
      <w:r>
        <w:rPr>
          <w:rFonts w:ascii="微软雅黑" w:hAnsi="微软雅黑" w:cs="微软雅黑"/>
          <w:szCs w:val="21"/>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rPr>
        <w:t xml:space="preserve">发包人(全称)：</w:t>
      </w:r>
      <w:r>
        <w:rPr>
          <w:rFonts w:hint="eastAsia" w:ascii="微软雅黑" w:hAnsi="微软雅黑" w:cs="微软雅黑"/>
          <w:szCs w:val="21"/>
          <w:u w:val="single"/>
        </w:rPr>
        <w:t xml:space="preserve"> 南京医科大学    </w:t>
      </w:r>
      <w:r>
        <w:rPr>
          <w:rFonts w:ascii="微软雅黑" w:hAnsi="微软雅黑" w:cs="微软雅黑"/>
          <w:szCs w:val="21"/>
          <w:u w:val="single"/>
        </w:rPr>
      </w:r>
      <w:r/>
    </w:p>
    <w:p>
      <w:pPr>
        <w:pStyle w:val="1044"/>
        <w:ind w:firstLine="560"/>
        <w:spacing w:line="440" w:lineRule="exact"/>
        <w:rPr>
          <w:rFonts w:ascii="微软雅黑" w:hAnsi="微软雅黑" w:cs="微软雅黑"/>
          <w:szCs w:val="21"/>
          <w:u w:val="single"/>
        </w:rPr>
      </w:pPr>
      <w:r>
        <w:rPr>
          <w:rFonts w:hint="eastAsia" w:ascii="微软雅黑" w:hAnsi="微软雅黑" w:cs="微软雅黑"/>
          <w:szCs w:val="21"/>
        </w:rPr>
        <w:t xml:space="preserve">承包人(全称)：_______________</w:t>
      </w:r>
      <w:r>
        <w:rPr>
          <w:rFonts w:ascii="微软雅黑" w:hAnsi="微软雅黑" w:cs="微软雅黑"/>
          <w:szCs w:val="21"/>
          <w:u w:val="single"/>
        </w:rPr>
      </w:r>
      <w:r/>
    </w:p>
    <w:p>
      <w:pPr>
        <w:pStyle w:val="1044"/>
        <w:ind w:firstLine="560"/>
        <w:jc w:val="left"/>
        <w:spacing w:line="440" w:lineRule="exact"/>
        <w:rPr>
          <w:rFonts w:ascii="微软雅黑" w:hAnsi="微软雅黑" w:cs="微软雅黑"/>
          <w:szCs w:val="21"/>
        </w:rPr>
      </w:pPr>
      <w:r>
        <w:rPr>
          <w:rFonts w:hint="eastAsia" w:ascii="微软雅黑" w:hAnsi="微软雅黑" w:cs="微软雅黑"/>
          <w:szCs w:val="21"/>
        </w:rPr>
        <w:t xml:space="preserve">为保证</w:t>
      </w:r>
      <w:r>
        <w:rPr>
          <w:rFonts w:hint="eastAsia" w:ascii="微软雅黑" w:hAnsi="微软雅黑" w:cs="微软雅黑"/>
          <w:szCs w:val="21"/>
          <w:u w:val="single"/>
        </w:rPr>
        <w:t xml:space="preserve">                           </w:t>
      </w:r>
      <w:r>
        <w:rPr>
          <w:rFonts w:hint="eastAsia" w:ascii="微软雅黑" w:hAnsi="微软雅黑" w:cs="微软雅黑"/>
          <w:szCs w:val="21"/>
        </w:rPr>
        <w:t xml:space="preserve">（工程名称）在合理使用期限内正常使用，发包人承包人协商一致签订工程质量保修书。承包人在质量保修期内按照有关管理规定及双方约定承担工程质量保修责任。</w:t>
      </w:r>
      <w:r>
        <w:rPr>
          <w:rFonts w:ascii="微软雅黑" w:hAnsi="微软雅黑" w:cs="微软雅黑"/>
          <w:szCs w:val="21"/>
        </w:rPr>
      </w:r>
      <w:r/>
    </w:p>
    <w:p>
      <w:pPr>
        <w:pStyle w:val="1044"/>
        <w:ind w:firstLine="640"/>
        <w:spacing w:line="440" w:lineRule="exact"/>
        <w:rPr>
          <w:rFonts w:ascii="微软雅黑" w:hAnsi="微软雅黑" w:cs="微软雅黑"/>
          <w:szCs w:val="21"/>
        </w:rPr>
      </w:pPr>
      <w:r>
        <w:rPr>
          <w:rFonts w:hint="eastAsia" w:ascii="微软雅黑" w:hAnsi="微软雅黑" w:cs="微软雅黑"/>
          <w:szCs w:val="21"/>
        </w:rPr>
        <w:t xml:space="preserve">一、工程质量保修范围和内容</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质量保修范围根据国家有关规定进行，具体质量保修内容双方约定如下：</w:t>
      </w:r>
      <w:r>
        <w:rPr>
          <w:rFonts w:ascii="微软雅黑" w:hAnsi="微软雅黑" w:cs="微软雅黑"/>
          <w:szCs w:val="21"/>
        </w:rPr>
      </w:r>
      <w:r/>
    </w:p>
    <w:p>
      <w:pPr>
        <w:pStyle w:val="1044"/>
        <w:ind w:firstLine="640"/>
        <w:spacing w:line="440" w:lineRule="exact"/>
        <w:rPr>
          <w:rFonts w:ascii="微软雅黑" w:hAnsi="微软雅黑" w:cs="微软雅黑"/>
          <w:szCs w:val="21"/>
        </w:rPr>
      </w:pPr>
      <w:r>
        <w:rPr>
          <w:rFonts w:hint="eastAsia" w:ascii="微软雅黑" w:hAnsi="微软雅黑" w:cs="微软雅黑"/>
          <w:szCs w:val="21"/>
        </w:rPr>
        <w:t xml:space="preserve">二、质量保修期</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质量保修期从工程经过发包人或发包人上级项目管理部门或工程质量管理部门验收合格后之日算起。分单项竣工验收的工程，按单项工程分别计算质量保修期。</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双方根据国家有关规定，结合具体工程约定质量保修期如下：</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1.土建工程为</w:t>
      </w:r>
      <w:r>
        <w:rPr>
          <w:rFonts w:hint="eastAsia" w:ascii="微软雅黑" w:hAnsi="微软雅黑" w:cs="微软雅黑"/>
          <w:szCs w:val="21"/>
          <w:u w:val="single"/>
        </w:rPr>
        <w:t xml:space="preserve">设计文件规定的合理使用年限</w:t>
      </w:r>
      <w:r>
        <w:rPr>
          <w:rFonts w:hint="eastAsia" w:ascii="微软雅黑" w:hAnsi="微软雅黑" w:cs="微软雅黑"/>
          <w:szCs w:val="21"/>
        </w:rPr>
        <w:t xml:space="preserve">；</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2.电气管线、上下水管线安装工程为</w:t>
      </w:r>
      <w:r>
        <w:rPr>
          <w:rFonts w:hint="eastAsia" w:ascii="微软雅黑" w:hAnsi="微软雅黑" w:cs="微软雅黑"/>
          <w:szCs w:val="21"/>
          <w:u w:val="single"/>
        </w:rPr>
        <w:t xml:space="preserve">         </w:t>
      </w:r>
      <w:r>
        <w:rPr>
          <w:rFonts w:hint="eastAsia" w:ascii="微软雅黑" w:hAnsi="微软雅黑" w:cs="微软雅黑"/>
          <w:szCs w:val="21"/>
        </w:rPr>
        <w:t xml:space="preserve">；</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3.供热及供冷为</w:t>
      </w:r>
      <w:r>
        <w:rPr>
          <w:rFonts w:hint="eastAsia" w:ascii="微软雅黑" w:hAnsi="微软雅黑" w:cs="微软雅黑"/>
          <w:szCs w:val="21"/>
          <w:u w:val="single"/>
        </w:rPr>
        <w:t xml:space="preserve">     </w:t>
      </w:r>
      <w:r>
        <w:rPr>
          <w:rFonts w:hint="eastAsia" w:ascii="微软雅黑" w:hAnsi="微软雅黑" w:cs="微软雅黑"/>
          <w:szCs w:val="21"/>
        </w:rPr>
        <w:t xml:space="preserve">个采暖期及供冷期；</w:t>
      </w:r>
      <w:r>
        <w:rPr>
          <w:rFonts w:ascii="微软雅黑" w:hAnsi="微软雅黑" w:cs="微软雅黑"/>
          <w:szCs w:val="21"/>
        </w:rPr>
      </w:r>
      <w:r/>
    </w:p>
    <w:p>
      <w:pPr>
        <w:pStyle w:val="1044"/>
        <w:ind w:firstLine="560"/>
        <w:spacing w:line="440" w:lineRule="exact"/>
        <w:rPr>
          <w:rFonts w:ascii="微软雅黑" w:hAnsi="微软雅黑" w:cs="微软雅黑"/>
          <w:szCs w:val="21"/>
        </w:rPr>
        <w:outlineLvl w:val="0"/>
      </w:pPr>
      <w:r/>
      <w:bookmarkStart w:id="277" w:name="_Toc18680"/>
      <w:r>
        <w:rPr>
          <w:rFonts w:hint="eastAsia" w:ascii="微软雅黑" w:hAnsi="微软雅黑" w:cs="微软雅黑"/>
          <w:szCs w:val="21"/>
        </w:rPr>
        <w:t xml:space="preserve">4.其他约定：</w:t>
      </w:r>
      <w:r>
        <w:rPr>
          <w:rFonts w:hint="eastAsia" w:ascii="微软雅黑" w:hAnsi="微软雅黑" w:cs="微软雅黑"/>
          <w:b/>
          <w:bCs/>
          <w:szCs w:val="21"/>
          <w:u w:val="single"/>
        </w:rPr>
        <w:t xml:space="preserve">本工程质量保修期从工程经过发包人或发包人上级项目管理部门或工程质量管理部门验收合格交付使用之日算起   年。其余按国家相关规定执行。</w:t>
      </w:r>
      <w:bookmarkEnd w:id="277"/>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三、质量保修责任</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1.属于保修范围和内容的项目，承包人应在接到修理通知之日后7天内派人修理。承包人不在约定期限内，派人修理，发包人可委托其他人员修理，保修费用从质量保修金内扣除。</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2.发生须紧急抢修事故(如上水跑水、暖气漏水漏气、燃气漏气等)，承包人接到事故通知后，应立即到达事故现场抢修。非承包人施工质量引起的事故，抢修费用由发包人承担。</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3.在国家规定的工程合理使用期限内，承包人确保地基基础工程和主体结构的质量。因承包人原因致使工程在合理使用期限内造成人身和财产损害的，承包人应承担损害赔偿责任。</w:t>
      </w:r>
      <w:r>
        <w:rPr>
          <w:rFonts w:ascii="微软雅黑" w:hAnsi="微软雅黑" w:cs="微软雅黑"/>
          <w:szCs w:val="21"/>
        </w:rPr>
      </w:r>
      <w:r/>
    </w:p>
    <w:p>
      <w:pPr>
        <w:pStyle w:val="1044"/>
        <w:ind w:firstLine="640"/>
        <w:spacing w:line="440" w:lineRule="exact"/>
        <w:rPr>
          <w:rFonts w:ascii="微软雅黑" w:hAnsi="微软雅黑" w:cs="微软雅黑"/>
          <w:szCs w:val="21"/>
        </w:rPr>
      </w:pPr>
      <w:r>
        <w:rPr>
          <w:rFonts w:hint="eastAsia" w:ascii="微软雅黑" w:hAnsi="微软雅黑" w:cs="微软雅黑"/>
          <w:szCs w:val="21"/>
        </w:rPr>
        <w:t xml:space="preserve">四、质量保修金的支付</w:t>
      </w:r>
      <w:r>
        <w:rPr>
          <w:rFonts w:ascii="微软雅黑" w:hAnsi="微软雅黑" w:cs="微软雅黑"/>
          <w:szCs w:val="21"/>
        </w:rPr>
      </w:r>
      <w:r/>
    </w:p>
    <w:p>
      <w:pPr>
        <w:pStyle w:val="1044"/>
        <w:ind w:firstLine="560"/>
        <w:spacing w:line="440" w:lineRule="exact"/>
        <w:rPr>
          <w:rFonts w:ascii="微软雅黑" w:hAnsi="微软雅黑" w:cs="微软雅黑"/>
          <w:b/>
          <w:szCs w:val="21"/>
        </w:rPr>
      </w:pPr>
      <w:r>
        <w:rPr>
          <w:rFonts w:hint="eastAsia" w:ascii="微软雅黑" w:hAnsi="微软雅黑" w:cs="微软雅黑"/>
          <w:b/>
          <w:szCs w:val="21"/>
        </w:rPr>
        <w:t xml:space="preserve">本工程约定的工程质量保修金为最终结算审计价款的 </w:t>
      </w:r>
      <w:r>
        <w:rPr>
          <w:rFonts w:hint="eastAsia" w:ascii="微软雅黑" w:hAnsi="微软雅黑" w:cs="微软雅黑"/>
          <w:b/>
          <w:szCs w:val="21"/>
          <w:u w:val="single"/>
        </w:rPr>
        <w:t xml:space="preserve"> 3  ％</w:t>
      </w:r>
      <w:r>
        <w:rPr>
          <w:rFonts w:hint="eastAsia" w:ascii="微软雅黑" w:hAnsi="微软雅黑" w:cs="微软雅黑"/>
          <w:b/>
          <w:szCs w:val="21"/>
        </w:rPr>
        <w:t xml:space="preserve"> 。</w:t>
      </w:r>
      <w:r>
        <w:rPr>
          <w:rFonts w:ascii="微软雅黑" w:hAnsi="微软雅黑" w:cs="微软雅黑"/>
          <w:b/>
          <w:szCs w:val="21"/>
        </w:rPr>
      </w:r>
      <w:r/>
    </w:p>
    <w:p>
      <w:pPr>
        <w:pStyle w:val="1044"/>
        <w:ind w:firstLine="525"/>
        <w:spacing w:line="440" w:lineRule="exact"/>
        <w:rPr>
          <w:rFonts w:ascii="微软雅黑" w:hAnsi="微软雅黑" w:cs="微软雅黑"/>
          <w:szCs w:val="21"/>
        </w:rPr>
      </w:pPr>
      <w:r>
        <w:rPr>
          <w:rFonts w:hint="eastAsia" w:ascii="微软雅黑" w:hAnsi="微软雅黑" w:cs="微软雅黑"/>
          <w:szCs w:val="21"/>
        </w:rPr>
        <w:t xml:space="preserve">本工程双方约定承包人向发包人支付工程质量保修金金额为</w:t>
      </w:r>
      <w:r>
        <w:rPr>
          <w:rFonts w:hint="eastAsia" w:ascii="微软雅黑" w:hAnsi="微软雅黑" w:cs="微软雅黑"/>
          <w:szCs w:val="21"/>
          <w:u w:val="single"/>
        </w:rPr>
        <w:t xml:space="preserve">     /       </w:t>
      </w:r>
      <w:r>
        <w:rPr>
          <w:rFonts w:hint="eastAsia" w:ascii="微软雅黑" w:hAnsi="微软雅黑" w:cs="微软雅黑"/>
          <w:szCs w:val="21"/>
        </w:rPr>
        <w:t xml:space="preserve">（大写）。质量保修金银行利率为</w:t>
      </w:r>
      <w:r>
        <w:rPr>
          <w:rFonts w:hint="eastAsia" w:ascii="微软雅黑" w:hAnsi="微软雅黑" w:cs="微软雅黑"/>
          <w:szCs w:val="21"/>
          <w:u w:val="single"/>
        </w:rPr>
        <w:t xml:space="preserve">       零         </w:t>
      </w:r>
      <w:r>
        <w:rPr>
          <w:rFonts w:hint="eastAsia" w:ascii="微软雅黑" w:hAnsi="微软雅黑" w:cs="微软雅黑"/>
          <w:szCs w:val="21"/>
        </w:rPr>
        <w:t xml:space="preserve"> 。</w:t>
      </w:r>
      <w:r>
        <w:rPr>
          <w:rFonts w:ascii="微软雅黑" w:hAnsi="微软雅黑" w:cs="微软雅黑"/>
          <w:szCs w:val="21"/>
        </w:rPr>
      </w:r>
      <w:r/>
    </w:p>
    <w:p>
      <w:pPr>
        <w:pStyle w:val="1044"/>
        <w:ind w:firstLine="640"/>
        <w:spacing w:line="440" w:lineRule="exact"/>
        <w:rPr>
          <w:rFonts w:ascii="微软雅黑" w:hAnsi="微软雅黑" w:cs="微软雅黑"/>
          <w:szCs w:val="21"/>
        </w:rPr>
      </w:pPr>
      <w:r>
        <w:rPr>
          <w:rFonts w:hint="eastAsia" w:ascii="微软雅黑" w:hAnsi="微软雅黑" w:cs="微软雅黑"/>
          <w:szCs w:val="21"/>
        </w:rPr>
        <w:t xml:space="preserve">五、质量保修金的返还</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自竣工验收通过交付使用之日起至质量保修期结束,将保修金返还给承包人。</w:t>
      </w:r>
      <w:r>
        <w:rPr>
          <w:rFonts w:ascii="微软雅黑" w:hAnsi="微软雅黑" w:cs="微软雅黑"/>
          <w:szCs w:val="21"/>
        </w:rPr>
      </w:r>
      <w:r/>
    </w:p>
    <w:p>
      <w:pPr>
        <w:pStyle w:val="1044"/>
        <w:ind w:firstLine="640"/>
        <w:spacing w:line="440" w:lineRule="exact"/>
        <w:rPr>
          <w:rFonts w:ascii="微软雅黑" w:hAnsi="微软雅黑" w:cs="微软雅黑"/>
          <w:szCs w:val="21"/>
        </w:rPr>
      </w:pPr>
      <w:r>
        <w:rPr>
          <w:rFonts w:hint="eastAsia" w:ascii="微软雅黑" w:hAnsi="微软雅黑" w:cs="微软雅黑"/>
          <w:szCs w:val="21"/>
        </w:rPr>
        <w:t xml:space="preserve">六、其他</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双方约定的其他工程质量保修事项：</w:t>
      </w:r>
      <w:r>
        <w:rPr>
          <w:rFonts w:hint="eastAsia" w:ascii="微软雅黑" w:hAnsi="微软雅黑" w:cs="微软雅黑"/>
          <w:szCs w:val="21"/>
          <w:u w:val="single"/>
        </w:rPr>
        <w:t xml:space="preserve">见承包人投标文件</w:t>
      </w:r>
      <w:r>
        <w:rPr>
          <w:rFonts w:hint="eastAsia" w:ascii="微软雅黑" w:hAnsi="微软雅黑" w:cs="微软雅黑"/>
          <w:szCs w:val="21"/>
        </w:rPr>
        <w:t xml:space="preserve">。</w:t>
      </w: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hint="eastAsia" w:ascii="微软雅黑" w:hAnsi="微软雅黑" w:cs="微软雅黑"/>
          <w:szCs w:val="21"/>
        </w:rPr>
        <w:t xml:space="preserve">本工程质量保修书作为施工合同附件，由施工合同发包人承包人双方共同签署。</w:t>
      </w: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ind w:firstLine="560"/>
        <w:spacing w:line="440" w:lineRule="exact"/>
        <w:rPr>
          <w:rFonts w:ascii="微软雅黑" w:hAnsi="微软雅黑" w:cs="微软雅黑"/>
          <w:szCs w:val="21"/>
        </w:rPr>
      </w:pPr>
      <w:r>
        <w:rPr>
          <w:rFonts w:ascii="微软雅黑" w:hAnsi="微软雅黑" w:cs="微软雅黑"/>
          <w:szCs w:val="21"/>
        </w:rPr>
      </w:r>
      <w:r/>
    </w:p>
    <w:p>
      <w:pPr>
        <w:pStyle w:val="1044"/>
        <w:ind w:firstLine="435"/>
        <w:spacing w:line="440" w:lineRule="exact"/>
        <w:rPr>
          <w:rFonts w:ascii="微软雅黑" w:hAnsi="微软雅黑" w:cs="微软雅黑"/>
          <w:szCs w:val="21"/>
        </w:rPr>
      </w:pPr>
      <w:r>
        <w:rPr>
          <w:rFonts w:hint="eastAsia" w:ascii="微软雅黑" w:hAnsi="微软雅黑" w:cs="微软雅黑"/>
          <w:szCs w:val="21"/>
        </w:rPr>
        <w:t xml:space="preserve">发  包  人(公章)：                   承  包  人(公章)：</w:t>
      </w:r>
      <w:r>
        <w:rPr>
          <w:rFonts w:ascii="微软雅黑" w:hAnsi="微软雅黑" w:cs="微软雅黑"/>
          <w:szCs w:val="21"/>
        </w:rPr>
      </w:r>
      <w:r/>
    </w:p>
    <w:p>
      <w:pPr>
        <w:pStyle w:val="1044"/>
        <w:ind w:firstLine="435"/>
        <w:spacing w:line="440" w:lineRule="exact"/>
        <w:rPr>
          <w:rFonts w:ascii="微软雅黑" w:hAnsi="微软雅黑" w:cs="微软雅黑"/>
          <w:szCs w:val="21"/>
        </w:rPr>
      </w:pPr>
      <w:r>
        <w:rPr>
          <w:rFonts w:hint="eastAsia" w:ascii="微软雅黑" w:hAnsi="微软雅黑" w:cs="微软雅黑"/>
          <w:szCs w:val="21"/>
        </w:rPr>
        <w:t xml:space="preserve">法定代表人或授权代表(签字)：       法定代表人或授权代表(签字)：</w:t>
      </w:r>
      <w:r>
        <w:rPr>
          <w:rFonts w:ascii="微软雅黑" w:hAnsi="微软雅黑" w:cs="微软雅黑"/>
          <w:szCs w:val="21"/>
        </w:rPr>
      </w:r>
      <w:r/>
    </w:p>
    <w:p>
      <w:pPr>
        <w:pStyle w:val="1044"/>
        <w:ind w:firstLine="435"/>
        <w:spacing w:line="440" w:lineRule="exact"/>
        <w:rPr>
          <w:rFonts w:ascii="微软雅黑" w:hAnsi="微软雅黑" w:cs="微软雅黑"/>
          <w:szCs w:val="21"/>
        </w:rPr>
      </w:pPr>
      <w:r>
        <w:rPr>
          <w:rFonts w:hint="eastAsia" w:ascii="微软雅黑" w:hAnsi="微软雅黑" w:cs="微软雅黑"/>
          <w:szCs w:val="21"/>
          <w:u w:val="single"/>
        </w:rPr>
        <w:t xml:space="preserve">          </w:t>
      </w:r>
      <w:r>
        <w:rPr>
          <w:rFonts w:hint="eastAsia" w:ascii="微软雅黑" w:hAnsi="微软雅黑" w:cs="微软雅黑"/>
          <w:szCs w:val="21"/>
        </w:rPr>
        <w:t xml:space="preserve">年 </w:t>
      </w:r>
      <w:r>
        <w:rPr>
          <w:rFonts w:hint="eastAsia" w:ascii="微软雅黑" w:hAnsi="微软雅黑" w:cs="微软雅黑"/>
          <w:szCs w:val="21"/>
          <w:u w:val="single"/>
        </w:rPr>
        <w:t xml:space="preserve">       </w:t>
      </w:r>
      <w:r>
        <w:rPr>
          <w:rFonts w:hint="eastAsia" w:ascii="微软雅黑" w:hAnsi="微软雅黑" w:cs="微软雅黑"/>
          <w:szCs w:val="21"/>
        </w:rPr>
        <w:t xml:space="preserve"> 月 </w:t>
      </w:r>
      <w:r>
        <w:rPr>
          <w:rFonts w:hint="eastAsia" w:ascii="微软雅黑" w:hAnsi="微软雅黑" w:cs="微软雅黑"/>
          <w:szCs w:val="21"/>
          <w:u w:val="single"/>
        </w:rPr>
        <w:t xml:space="preserve">      </w:t>
      </w:r>
      <w:r>
        <w:rPr>
          <w:rFonts w:hint="eastAsia" w:ascii="微软雅黑" w:hAnsi="微软雅黑" w:cs="微软雅黑"/>
          <w:szCs w:val="21"/>
        </w:rPr>
        <w:t xml:space="preserve"> 日   </w:t>
      </w:r>
      <w:r>
        <w:rPr>
          <w:rFonts w:hint="eastAsia" w:ascii="微软雅黑" w:hAnsi="微软雅黑" w:cs="微软雅黑"/>
          <w:szCs w:val="21"/>
          <w:u w:val="single"/>
        </w:rPr>
        <w:t xml:space="preserve">      </w:t>
      </w:r>
      <w:r>
        <w:rPr>
          <w:rFonts w:hint="eastAsia" w:ascii="微软雅黑" w:hAnsi="微软雅黑" w:cs="微软雅黑"/>
          <w:szCs w:val="21"/>
        </w:rPr>
        <w:t xml:space="preserve"> 年 </w:t>
      </w:r>
      <w:r>
        <w:rPr>
          <w:rFonts w:hint="eastAsia" w:ascii="微软雅黑" w:hAnsi="微软雅黑" w:cs="微软雅黑"/>
          <w:szCs w:val="21"/>
          <w:u w:val="single"/>
        </w:rPr>
        <w:t xml:space="preserve">      </w:t>
      </w:r>
      <w:r>
        <w:rPr>
          <w:rFonts w:hint="eastAsia" w:ascii="微软雅黑" w:hAnsi="微软雅黑" w:cs="微软雅黑"/>
          <w:szCs w:val="21"/>
        </w:rPr>
        <w:t xml:space="preserve"> 月 </w:t>
      </w:r>
      <w:r>
        <w:rPr>
          <w:rFonts w:hint="eastAsia" w:ascii="微软雅黑" w:hAnsi="微软雅黑" w:cs="微软雅黑"/>
          <w:szCs w:val="21"/>
          <w:u w:val="single"/>
        </w:rPr>
        <w:t xml:space="preserve">      </w:t>
      </w:r>
      <w:r>
        <w:rPr>
          <w:rFonts w:hint="eastAsia" w:ascii="微软雅黑" w:hAnsi="微软雅黑" w:cs="微软雅黑"/>
          <w:szCs w:val="21"/>
        </w:rPr>
        <w:t xml:space="preserve"> 日</w:t>
      </w: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附件2</w:t>
      </w:r>
      <w:r>
        <w:rPr>
          <w:rFonts w:ascii="微软雅黑" w:hAnsi="微软雅黑" w:cs="微软雅黑"/>
          <w:szCs w:val="21"/>
        </w:rPr>
      </w:r>
      <w:r/>
    </w:p>
    <w:p>
      <w:pPr>
        <w:pStyle w:val="1044"/>
        <w:jc w:val="center"/>
        <w:spacing w:line="440" w:lineRule="exact"/>
        <w:rPr>
          <w:rFonts w:ascii="微软雅黑" w:hAnsi="微软雅黑" w:cs="微软雅黑"/>
          <w:szCs w:val="21"/>
        </w:rPr>
      </w:pPr>
      <w:r>
        <w:rPr>
          <w:rFonts w:hint="eastAsia" w:ascii="微软雅黑" w:hAnsi="微软雅黑" w:cs="微软雅黑"/>
          <w:b/>
          <w:szCs w:val="21"/>
        </w:rPr>
        <w:t xml:space="preserve">建设工程承发包安全管理协议</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u w:val="single"/>
        </w:rPr>
      </w:pPr>
      <w:r>
        <w:rPr>
          <w:rFonts w:hint="eastAsia" w:ascii="微软雅黑" w:hAnsi="微软雅黑" w:cs="微软雅黑"/>
          <w:szCs w:val="21"/>
        </w:rPr>
        <w:t xml:space="preserve">发包单位：</w:t>
      </w:r>
      <w:r>
        <w:rPr>
          <w:rFonts w:hint="eastAsia" w:ascii="微软雅黑" w:hAnsi="微软雅黑" w:cs="微软雅黑"/>
          <w:szCs w:val="21"/>
          <w:u w:val="single"/>
        </w:rPr>
        <w:t xml:space="preserve">南京医科大学（以下简称甲方） </w:t>
      </w:r>
      <w:r>
        <w:rPr>
          <w:rFonts w:ascii="微软雅黑" w:hAnsi="微软雅黑" w:cs="微软雅黑"/>
          <w:szCs w:val="21"/>
          <w:u w:val="single"/>
        </w:rPr>
      </w:r>
      <w:r/>
    </w:p>
    <w:p>
      <w:pPr>
        <w:pStyle w:val="1044"/>
        <w:spacing w:line="440" w:lineRule="exact"/>
        <w:rPr>
          <w:rFonts w:ascii="微软雅黑" w:hAnsi="微软雅黑" w:cs="微软雅黑"/>
          <w:szCs w:val="21"/>
          <w:u w:val="single"/>
        </w:rPr>
      </w:pPr>
      <w:r>
        <w:rPr>
          <w:rFonts w:hint="eastAsia" w:ascii="微软雅黑" w:hAnsi="微软雅黑" w:cs="微软雅黑"/>
          <w:szCs w:val="21"/>
        </w:rPr>
        <w:t xml:space="preserve">承包单位：</w:t>
      </w:r>
      <w:r>
        <w:rPr>
          <w:rFonts w:hint="eastAsia" w:ascii="微软雅黑" w:hAnsi="微软雅黑" w:cs="微软雅黑"/>
          <w:szCs w:val="21"/>
          <w:u w:val="single"/>
        </w:rPr>
        <w:t xml:space="preserve">                       （以下简称乙方） </w:t>
      </w:r>
      <w:r>
        <w:rPr>
          <w:rFonts w:ascii="微软雅黑" w:hAnsi="微软雅黑" w:cs="微软雅黑"/>
          <w:szCs w:val="21"/>
          <w:u w:val="single"/>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将本工程项目发包给</w:t>
      </w:r>
      <w:r>
        <w:rPr>
          <w:rFonts w:hint="eastAsia" w:ascii="微软雅黑" w:hAnsi="微软雅黑" w:cs="微软雅黑"/>
          <w:szCs w:val="21"/>
          <w:lang w:val="en-US" w:eastAsia="zh-CN"/>
        </w:rPr>
        <w:t xml:space="preserve">承包人</w:t>
      </w:r>
      <w:r>
        <w:rPr>
          <w:rFonts w:hint="eastAsia" w:ascii="微软雅黑" w:hAnsi="微软雅黑" w:cs="微软雅黑"/>
          <w:szCs w:val="21"/>
        </w:rPr>
        <w:t xml:space="preserve">施工，为贯彻“安全第一、预防为主”的方针，根据《江苏省工程安全管理暂行规定》和国家有关法规，明确双方的安全生产责任，确保施工安全，双方在签订工程合同的同时，签订本协议。 </w:t>
      </w:r>
      <w:r>
        <w:rPr>
          <w:rFonts w:ascii="微软雅黑" w:hAnsi="微软雅黑" w:cs="微软雅黑"/>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一、承包施工项目： </w:t>
      </w:r>
      <w:r>
        <w:rPr>
          <w:rFonts w:ascii="微软雅黑" w:hAnsi="微软雅黑" w:cs="微软雅黑"/>
          <w:b/>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工程项目名称：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工程地址</w:t>
      </w:r>
      <w:r>
        <w:rPr>
          <w:rFonts w:hint="eastAsia" w:ascii="微软雅黑" w:hAnsi="微软雅黑" w:cs="微软雅黑"/>
          <w:szCs w:val="21"/>
          <w:u w:val="single"/>
        </w:rPr>
        <w:t xml:space="preserve">：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承包范围：</w:t>
      </w:r>
      <w:r>
        <w:rPr>
          <w:rFonts w:hint="eastAsia" w:ascii="微软雅黑" w:hAnsi="微软雅黑" w:cs="微软雅黑"/>
          <w:szCs w:val="21"/>
          <w:u w:val="single"/>
        </w:rPr>
        <w:t xml:space="preserve">采购文件（具体以工程量清单和招标人要求为准）</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b/>
          <w:szCs w:val="21"/>
        </w:rPr>
        <w:t xml:space="preserve">二、工程项目施工期限： </w:t>
      </w:r>
      <w:r>
        <w:rPr>
          <w:rFonts w:hint="eastAsia" w:ascii="微软雅黑" w:hAnsi="微软雅黑" w:cs="微软雅黑"/>
          <w:szCs w:val="21"/>
        </w:rPr>
        <w:t xml:space="preserve">共</w:t>
      </w:r>
      <w:r>
        <w:rPr>
          <w:rFonts w:hint="eastAsia" w:ascii="微软雅黑" w:hAnsi="微软雅黑" w:cs="微软雅黑"/>
          <w:szCs w:val="21"/>
          <w:u w:val="single"/>
        </w:rPr>
        <w:t xml:space="preserve">    </w:t>
      </w:r>
      <w:r>
        <w:rPr>
          <w:rFonts w:hint="eastAsia" w:ascii="微软雅黑" w:hAnsi="微软雅黑" w:cs="微软雅黑"/>
          <w:szCs w:val="21"/>
        </w:rPr>
        <w:t xml:space="preserve">个日历日（具体开工时间以</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通知为准）</w:t>
      </w:r>
      <w:r>
        <w:rPr>
          <w:rFonts w:ascii="微软雅黑" w:hAnsi="微软雅黑" w:cs="微软雅黑"/>
          <w:szCs w:val="21"/>
        </w:rPr>
      </w:r>
      <w:r/>
    </w:p>
    <w:p>
      <w:pPr>
        <w:pStyle w:val="1044"/>
        <w:ind w:firstLine="420"/>
        <w:spacing w:line="440" w:lineRule="exact"/>
        <w:rPr>
          <w:rFonts w:ascii="微软雅黑" w:hAnsi="微软雅黑" w:cs="微软雅黑"/>
          <w:b/>
          <w:szCs w:val="21"/>
        </w:rPr>
      </w:pPr>
      <w:r>
        <w:rPr>
          <w:rFonts w:hint="eastAsia" w:ascii="微软雅黑" w:hAnsi="微软雅黑" w:cs="微软雅黑"/>
          <w:b/>
          <w:szCs w:val="21"/>
        </w:rPr>
        <w:t xml:space="preserve">三、协议内容： </w:t>
      </w:r>
      <w:r>
        <w:rPr>
          <w:rFonts w:ascii="微软雅黑" w:hAnsi="微软雅黑" w:cs="微软雅黑"/>
          <w:b/>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lang w:eastAsia="zh-CN"/>
        </w:rPr>
        <w:t xml:space="preserve">发包人与承包人</w:t>
      </w:r>
      <w:r>
        <w:rPr>
          <w:rFonts w:hint="eastAsia" w:ascii="微软雅黑" w:hAnsi="微软雅黑" w:cs="微软雅黑"/>
          <w:szCs w:val="21"/>
        </w:rPr>
        <w:t xml:space="preserve">双方必须认真贯彻国家、江苏省和上级劳动保护、安全生产主管部门颁发的有关安全生产、消防工作的方针、政策、严格执行有关劳动保护法规、条例、规定。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应有安全管理组织体制，包括抓安全生产的领导，各级专职和兼职的安全干部，应有各工种的安全操作规程，特种作业人员的验证考核制度及各级安全生产岗位责任制和定期安全检查制度，安全教育制度等。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在施工前要认真勘察现场：</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进场后首先必须做好施工现场围护，防止闲杂人员进入施工现场，发生安全事故。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4.工程项目由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按</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的要求自行编实施性制施工组织设计；并制定有针对性的安全技术措施计划、严格按施工组织设计和有关安全要求施工。</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应落实本工程安全生产的管理体系，管理体系中的人员名单上报</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项目部备案，以便</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监督管理。工地专职安全员必须持证上岗。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必须认真对本单位职工进行安全生产制度及安全技术知识教育，增强法制观念，提高职工的安全生产思想意识和自我保护的能力，督促职工自觉遵守安全生产纪律、制度和法规。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6.施工前</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应对管理、施工人员进行安全生产进场教育，介绍有关安全生产管理制度、规定和要求，</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应组织召开管理、施工人员安全生产教育会议，介绍施工中有关安全、防火等规章制度及要求；</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必须检查、督促施工人员严格遵守、认真执行。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7.根据工程项目内容、特点，</w:t>
      </w:r>
      <w:r>
        <w:rPr>
          <w:rFonts w:hint="eastAsia" w:ascii="微软雅黑" w:hAnsi="微软雅黑" w:cs="微软雅黑"/>
          <w:szCs w:val="21"/>
          <w:lang w:eastAsia="zh-CN"/>
        </w:rPr>
        <w:t xml:space="preserve">发包人与承包人</w:t>
      </w:r>
      <w:r>
        <w:rPr>
          <w:rFonts w:hint="eastAsia" w:ascii="微软雅黑" w:hAnsi="微软雅黑" w:cs="微软雅黑"/>
          <w:szCs w:val="21"/>
        </w:rPr>
        <w:t xml:space="preserve">双方应做好安全技术交底，并有交底的书面材料，交底材料一式两份，由</w:t>
      </w:r>
      <w:r>
        <w:rPr>
          <w:rFonts w:hint="eastAsia" w:ascii="微软雅黑" w:hAnsi="微软雅黑" w:cs="微软雅黑"/>
          <w:szCs w:val="21"/>
          <w:lang w:eastAsia="zh-CN"/>
        </w:rPr>
        <w:t xml:space="preserve">发包人与承包人</w:t>
      </w:r>
      <w:r>
        <w:rPr>
          <w:rFonts w:hint="eastAsia" w:ascii="微软雅黑" w:hAnsi="微软雅黑" w:cs="微软雅黑"/>
          <w:szCs w:val="21"/>
        </w:rPr>
        <w:t xml:space="preserve">双方签字后各执一份。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8.施工期间，</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指派</w:t>
      </w:r>
      <w:r>
        <w:rPr>
          <w:rFonts w:hint="eastAsia" w:ascii="微软雅黑" w:hAnsi="微软雅黑" w:cs="微软雅黑"/>
          <w:szCs w:val="21"/>
          <w:u w:val="single"/>
        </w:rPr>
        <w:t xml:space="preserve">       </w:t>
      </w:r>
      <w:r>
        <w:rPr>
          <w:rFonts w:hint="eastAsia" w:ascii="微软雅黑" w:hAnsi="微软雅黑" w:cs="微软雅黑"/>
          <w:szCs w:val="21"/>
        </w:rPr>
        <w:t xml:space="preserve">同志负责本工程项目的有关安全、防火工作；</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指派</w:t>
      </w:r>
      <w:r>
        <w:rPr>
          <w:rFonts w:hint="eastAsia" w:ascii="微软雅黑" w:hAnsi="微软雅黑" w:cs="微软雅黑"/>
          <w:szCs w:val="21"/>
          <w:u w:val="single"/>
        </w:rPr>
        <w:t xml:space="preserve">         </w:t>
      </w:r>
      <w:r>
        <w:rPr>
          <w:rFonts w:hint="eastAsia" w:ascii="微软雅黑" w:hAnsi="微软雅黑" w:cs="微软雅黑"/>
          <w:szCs w:val="21"/>
        </w:rPr>
        <w:t xml:space="preserve">同志负责联系、检查督促</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执行有关安全、防火规定。</w:t>
      </w:r>
      <w:r>
        <w:rPr>
          <w:rFonts w:hint="eastAsia" w:ascii="微软雅黑" w:hAnsi="微软雅黑" w:cs="微软雅黑"/>
          <w:szCs w:val="21"/>
          <w:lang w:eastAsia="zh-CN"/>
        </w:rPr>
        <w:t xml:space="preserve">发包人与承包人</w:t>
      </w:r>
      <w:r>
        <w:rPr>
          <w:rFonts w:hint="eastAsia" w:ascii="微软雅黑" w:hAnsi="微软雅黑" w:cs="微软雅黑"/>
          <w:szCs w:val="21"/>
        </w:rPr>
        <w:t xml:space="preserve">双方应经常联系，相互协助检查和处理工程施工有关的安全、防火工作，共同预防事故发生。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在施工期间必须严格执行和遵守</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的安全生产、防火管理的各项规定，接受</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的督促、检查和指导。</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有协助</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搞好安全生产、防火管理以及督促检查的义务，对于查出的隐患，</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必须限期整改。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10.在生产操作过程中的</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员工防护用品，由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自理，</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都应督促施工现场人员自觉穿戴好防护用品。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对施工过程中由于上述因素不良而导致的事故后果负责。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在施工期间所使用的各种设备以及工具等均应由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自备。如</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必须向</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借用或租赁，应由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人员对施工的现场脚手架、各类安全防护设施、安全标志和警告牌，不得擅自拆除、更动。如确实需要拆除更动的，必须经工地施工负责人和</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指派的安全管理人员的同意，并采取必要、可靠的安全措施后方能拆除。</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人员擅自拆除所造成的后果，由该方人员及其单位负责。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需用</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提供的电气设备，在使用前应先进行检测，并做好检测记录，如不符合安全规定的应及时向</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提出，</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整改合格后方准使用，违反本规定或不经</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许可，擅自乱拉电气线路造成后果的均由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负责。</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配电系统必须有专人24小时值班，工地生活区内严禁乱拉乱接电线，严禁使用电炉、电饭煲、 电饭锅、电取暖器等，防止漏电触电事故发生。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在施工中，应注意地下管线及高压架空线路的保护。</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对地下管线和障碍物应详细交底，</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应贯彻交底要求，如遇有情况，应及时向</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和有关部门联系，采取保护措施。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18.贯彻谁施工谁负责安全的原则。</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在施工过程中发生的人身伤亡、火警、火灾等一切事故，均由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自己负责，</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只负责教育的责任。</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人员在施工期间造成伤亡、火警、火灾、机械等重大事故，</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应进行紧急抢救伤员和保护现场，</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予以协助，</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按国务院及江苏省有关事故报告规定在事故发生后的二十四小时内及时报告上级主管部门及市、区（县）劳动保护监察部门等有关机构。事故的损失和善后处理费用，有</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承担。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19．本协议经双方签字、盖章有效。作为合同正本的附件一式柒份。 </w:t>
      </w:r>
      <w:r>
        <w:rPr>
          <w:rFonts w:ascii="微软雅黑" w:hAnsi="微软雅黑" w:cs="微软雅黑"/>
          <w:szCs w:val="21"/>
        </w:rPr>
      </w:r>
      <w:r/>
    </w:p>
    <w:p>
      <w:pPr>
        <w:pStyle w:val="1044"/>
        <w:ind w:firstLine="420"/>
        <w:spacing w:line="440" w:lineRule="exact"/>
        <w:rPr>
          <w:rFonts w:ascii="微软雅黑" w:hAnsi="微软雅黑" w:cs="微软雅黑"/>
          <w:szCs w:val="21"/>
        </w:rPr>
      </w:pPr>
      <w:r>
        <w:rPr>
          <w:rFonts w:hint="eastAsia" w:ascii="微软雅黑" w:hAnsi="微软雅黑" w:cs="微软雅黑"/>
          <w:szCs w:val="21"/>
        </w:rPr>
        <w:t xml:space="preserve">20．本协议同工程合同正本同日生效，甲、乙双方必须严格执行，由于违反本协议而造成伤亡事故，由违约方承担一切经济损失。 </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（盖公章）：                        </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（盖公章）：</w:t>
      </w: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法人代表或授权代表（签字）：            法人代表或授权代表（签字）</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      年    月     日                              年    月    日</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附件3：</w:t>
      </w:r>
      <w:r>
        <w:rPr>
          <w:rFonts w:ascii="微软雅黑" w:hAnsi="微软雅黑" w:cs="微软雅黑"/>
          <w:szCs w:val="21"/>
        </w:rPr>
      </w:r>
      <w:r/>
    </w:p>
    <w:p>
      <w:pPr>
        <w:pStyle w:val="1044"/>
        <w:jc w:val="center"/>
        <w:spacing w:line="440" w:lineRule="exact"/>
        <w:rPr>
          <w:rFonts w:ascii="微软雅黑" w:hAnsi="微软雅黑" w:cs="微软雅黑"/>
          <w:b/>
          <w:szCs w:val="21"/>
        </w:rPr>
      </w:pPr>
      <w:r>
        <w:rPr>
          <w:rFonts w:hint="eastAsia" w:ascii="微软雅黑" w:hAnsi="微软雅黑" w:cs="微软雅黑"/>
          <w:b/>
          <w:szCs w:val="21"/>
        </w:rPr>
        <w:t xml:space="preserve">廉洁合作协议</w:t>
      </w:r>
      <w:r>
        <w:rPr>
          <w:rFonts w:ascii="微软雅黑" w:hAnsi="微软雅黑" w:cs="微软雅黑"/>
          <w:b/>
          <w:szCs w:val="21"/>
        </w:rPr>
      </w:r>
      <w:r/>
    </w:p>
    <w:p>
      <w:pPr>
        <w:pStyle w:val="1044"/>
        <w:ind w:firstLine="525"/>
        <w:spacing w:line="440" w:lineRule="exact"/>
        <w:rPr>
          <w:rFonts w:ascii="微软雅黑" w:hAnsi="微软雅黑" w:cs="微软雅黑"/>
          <w:szCs w:val="21"/>
        </w:rPr>
      </w:pPr>
      <w:r>
        <w:rPr>
          <w:rFonts w:hint="eastAsia" w:ascii="微软雅黑" w:hAnsi="微软雅黑" w:cs="微软雅黑"/>
          <w:szCs w:val="21"/>
          <w:lang w:eastAsia="zh-CN"/>
        </w:rPr>
        <w:t xml:space="preserve">发包人</w:t>
      </w:r>
      <w:r>
        <w:rPr>
          <w:rFonts w:hint="eastAsia" w:ascii="微软雅黑" w:hAnsi="微软雅黑" w:cs="微软雅黑"/>
          <w:szCs w:val="21"/>
        </w:rPr>
        <w:t xml:space="preserve">：</w:t>
      </w:r>
      <w:r>
        <w:rPr>
          <w:rFonts w:hint="eastAsia" w:ascii="微软雅黑" w:hAnsi="微软雅黑" w:cs="微软雅黑"/>
          <w:szCs w:val="21"/>
        </w:rPr>
        <w:t xml:space="preserve">南京医科大学</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lang w:eastAsia="zh-CN"/>
        </w:rPr>
        <w:t xml:space="preserve">承包人</w:t>
      </w:r>
      <w:r>
        <w:rPr>
          <w:rFonts w:hint="eastAsia" w:ascii="微软雅黑" w:hAnsi="微软雅黑" w:cs="微软雅黑"/>
          <w:szCs w:val="21"/>
        </w:rPr>
        <w:t xml:space="preserve">： </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为加强</w:t>
      </w:r>
      <w:r>
        <w:rPr>
          <w:rFonts w:hint="eastAsia" w:ascii="微软雅黑" w:hAnsi="微软雅黑" w:cs="微软雅黑"/>
          <w:szCs w:val="21"/>
          <w:lang w:eastAsia="zh-CN"/>
        </w:rPr>
        <w:t xml:space="preserve">发包人与承包人</w:t>
      </w:r>
      <w:r>
        <w:rPr>
          <w:rFonts w:hint="eastAsia" w:ascii="微软雅黑" w:hAnsi="微软雅黑" w:cs="微软雅黑"/>
          <w:szCs w:val="21"/>
        </w:rPr>
        <w:t xml:space="preserve">双方廉政建设，规范招标、采购、协议签订、协议履行等过程管理，保证双方工作人员公正廉洁，</w:t>
      </w:r>
      <w:r>
        <w:rPr>
          <w:rFonts w:hint="eastAsia" w:ascii="微软雅黑" w:hAnsi="微软雅黑" w:cs="微软雅黑"/>
          <w:szCs w:val="21"/>
          <w:lang w:eastAsia="zh-CN"/>
        </w:rPr>
        <w:t xml:space="preserve">发包人与承包人</w:t>
      </w:r>
      <w:r>
        <w:rPr>
          <w:rFonts w:hint="eastAsia" w:ascii="微软雅黑" w:hAnsi="微软雅黑" w:cs="微软雅黑"/>
          <w:szCs w:val="21"/>
        </w:rPr>
        <w:t xml:space="preserve">双方特订立如下协议：</w:t>
      </w:r>
      <w:r>
        <w:rPr>
          <w:rFonts w:ascii="微软雅黑" w:hAnsi="微软雅黑" w:cs="微软雅黑"/>
          <w:szCs w:val="21"/>
        </w:rPr>
      </w:r>
      <w:r/>
    </w:p>
    <w:p>
      <w:pPr>
        <w:pStyle w:val="1044"/>
        <w:ind w:firstLine="630"/>
        <w:spacing w:line="440" w:lineRule="exact"/>
        <w:rPr>
          <w:rFonts w:ascii="微软雅黑" w:hAnsi="微软雅黑" w:cs="微软雅黑"/>
          <w:b/>
          <w:szCs w:val="21"/>
        </w:rPr>
      </w:pPr>
      <w:r>
        <w:rPr>
          <w:rFonts w:hint="eastAsia" w:ascii="微软雅黑" w:hAnsi="微软雅黑" w:cs="微软雅黑"/>
          <w:b/>
          <w:szCs w:val="21"/>
        </w:rPr>
        <w:t xml:space="preserve">第一条</w:t>
      </w:r>
      <w:r>
        <w:rPr>
          <w:rFonts w:hint="eastAsia" w:ascii="微软雅黑" w:hAnsi="微软雅黑" w:cs="微软雅黑"/>
          <w:b/>
          <w:szCs w:val="21"/>
          <w:lang w:eastAsia="zh-CN"/>
        </w:rPr>
        <w:t xml:space="preserve">发包人与承包人</w:t>
      </w:r>
      <w:r>
        <w:rPr>
          <w:rFonts w:hint="eastAsia" w:ascii="微软雅黑" w:hAnsi="微软雅黑" w:cs="微软雅黑"/>
          <w:b/>
          <w:szCs w:val="21"/>
        </w:rPr>
        <w:t xml:space="preserve">双方共同履行的职责</w:t>
      </w:r>
      <w:r>
        <w:rPr>
          <w:rFonts w:ascii="微软雅黑" w:hAnsi="微软雅黑" w:cs="微软雅黑"/>
          <w:b/>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（一）严格遵守党和国家有关法律法规和有关党风廉政规定。</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（二）双方的业务活动坚持公平、公正、诚信的原则，不应损害国家和企业利益。</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（三）发现对方在业务活动中有违反廉政规定的行为，有及时提醒对方纠正的权利和义务。</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（四）发现对方严重违反本协议条款及其他违反党风廉政规定的行为，有向其单位有关部门举报并要求告知处理结果的权利。</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（五）本协议由双方经济合同谈判部门签订，双方单位的纪检监察部门负责监督落实情况。</w:t>
      </w:r>
      <w:r>
        <w:rPr>
          <w:rFonts w:ascii="微软雅黑" w:hAnsi="微软雅黑" w:cs="微软雅黑"/>
          <w:szCs w:val="21"/>
        </w:rPr>
      </w:r>
      <w:r/>
    </w:p>
    <w:p>
      <w:pPr>
        <w:pStyle w:val="1044"/>
        <w:ind w:firstLine="630"/>
        <w:spacing w:line="440" w:lineRule="exact"/>
        <w:rPr>
          <w:rFonts w:ascii="微软雅黑" w:hAnsi="微软雅黑" w:cs="微软雅黑"/>
          <w:b/>
          <w:szCs w:val="21"/>
        </w:rPr>
      </w:pPr>
      <w:r>
        <w:rPr>
          <w:rFonts w:hint="eastAsia" w:ascii="微软雅黑" w:hAnsi="微软雅黑" w:cs="微软雅黑"/>
          <w:b/>
          <w:szCs w:val="21"/>
        </w:rPr>
        <w:t xml:space="preserve">第二条</w:t>
      </w:r>
      <w:r>
        <w:rPr>
          <w:rFonts w:hint="eastAsia" w:ascii="微软雅黑" w:hAnsi="微软雅黑" w:cs="微软雅黑"/>
          <w:b/>
          <w:szCs w:val="21"/>
          <w:lang w:eastAsia="zh-CN"/>
        </w:rPr>
        <w:t xml:space="preserve">发包人</w:t>
      </w:r>
      <w:r>
        <w:rPr>
          <w:rFonts w:hint="eastAsia" w:ascii="微软雅黑" w:hAnsi="微软雅黑" w:cs="微软雅黑"/>
          <w:b/>
          <w:szCs w:val="21"/>
        </w:rPr>
        <w:t xml:space="preserve">行为准则</w:t>
      </w:r>
      <w:r>
        <w:rPr>
          <w:rFonts w:ascii="微软雅黑" w:hAnsi="微软雅黑" w:cs="微软雅黑"/>
          <w:b/>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（一）</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及其工作人员不得索要或接受</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的礼金、有价证券和贵重物品，不得在</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报销任何应由</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或个人支付的费用。不得以象征性地支付钱款的方式非法占有对方财物。</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（二）</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工作人员不得参加</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安排的可能影响公正执行公务的高消费宴请和娱乐活动。</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（三）</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的工作人员不得要求或者接受</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为其进行住房装修，不得要求和接受由</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出资为自己及其配偶、子女私自出国出境、旅游进行的安排等。</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（四）</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及工作人员不得从事违反党风廉政规定的其它活动。</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（五）</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及工作人员严禁违法、违规、违背程序组织招标；严禁与投标方串标，暗箱操作；严禁擅自向中标人推销设备、材料或介绍分包队伍；严禁泄露我公司和各</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的技术及商务机密。</w:t>
      </w:r>
      <w:r>
        <w:rPr>
          <w:rFonts w:ascii="微软雅黑" w:hAnsi="微软雅黑" w:cs="微软雅黑"/>
          <w:szCs w:val="21"/>
        </w:rPr>
      </w:r>
      <w:r/>
    </w:p>
    <w:p>
      <w:pPr>
        <w:pStyle w:val="1044"/>
        <w:ind w:firstLine="630"/>
        <w:spacing w:line="440" w:lineRule="exact"/>
        <w:rPr>
          <w:rFonts w:ascii="微软雅黑" w:hAnsi="微软雅黑" w:cs="微软雅黑"/>
          <w:b/>
          <w:szCs w:val="21"/>
        </w:rPr>
      </w:pPr>
      <w:r>
        <w:rPr>
          <w:rFonts w:hint="eastAsia" w:ascii="微软雅黑" w:hAnsi="微软雅黑" w:cs="微软雅黑"/>
          <w:b/>
          <w:szCs w:val="21"/>
        </w:rPr>
        <w:t xml:space="preserve">第三条</w:t>
      </w:r>
      <w:r>
        <w:rPr>
          <w:rFonts w:hint="eastAsia" w:ascii="微软雅黑" w:hAnsi="微软雅黑" w:cs="微软雅黑"/>
          <w:b/>
          <w:szCs w:val="21"/>
          <w:lang w:eastAsia="zh-CN"/>
        </w:rPr>
        <w:t xml:space="preserve">承包人</w:t>
      </w:r>
      <w:r>
        <w:rPr>
          <w:rFonts w:hint="eastAsia" w:ascii="微软雅黑" w:hAnsi="微软雅黑" w:cs="微软雅黑"/>
          <w:b/>
          <w:szCs w:val="21"/>
        </w:rPr>
        <w:t xml:space="preserve">行为准则</w:t>
      </w:r>
      <w:r>
        <w:rPr>
          <w:rFonts w:ascii="微软雅黑" w:hAnsi="微软雅黑" w:cs="微软雅黑"/>
          <w:b/>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（一）</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不得以任何理由向</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及其工作人员馈赠礼金、有价证券、贵重物品。不得以任何名义为</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及其工作人员报销应由</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单位或个人支付的任何费用。不得以象征性收费的方式向对方提供财物。</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（二）</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不得以任何理由安排</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工作人员参加影响公正执行公务的高消费宴请及娱乐活动。</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（三）</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及其工作人员不得为</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人员进行住房装修，不得出资为</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人员及其配偶、子女私自出国出境、旅游进行安排等。</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（四）</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发现</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及其工作人员有违反本协议内容或违反党风廉政规定的行为应及时向</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相关部门反映或举报。</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（五）</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不得从事违反党风廉政规定的其它活动。</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（六）</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及时答复</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征求意见函</w:t>
      </w:r>
      <w:r>
        <w:rPr>
          <w:rFonts w:ascii="微软雅黑" w:hAnsi="微软雅黑" w:cs="微软雅黑"/>
          <w:szCs w:val="21"/>
        </w:rPr>
      </w:r>
      <w:r/>
    </w:p>
    <w:p>
      <w:pPr>
        <w:pStyle w:val="1044"/>
        <w:ind w:firstLine="630"/>
        <w:spacing w:line="440" w:lineRule="exact"/>
        <w:rPr>
          <w:rFonts w:ascii="微软雅黑" w:hAnsi="微软雅黑" w:cs="微软雅黑"/>
          <w:b/>
          <w:szCs w:val="21"/>
        </w:rPr>
      </w:pPr>
      <w:r>
        <w:rPr>
          <w:rFonts w:hint="eastAsia" w:ascii="微软雅黑" w:hAnsi="微软雅黑" w:cs="微软雅黑"/>
          <w:b/>
          <w:szCs w:val="21"/>
        </w:rPr>
        <w:t xml:space="preserve">第四条违约责任</w:t>
      </w:r>
      <w:r>
        <w:rPr>
          <w:rFonts w:ascii="微软雅黑" w:hAnsi="微软雅黑" w:cs="微软雅黑"/>
          <w:b/>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（一）</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及其工作人员违反本协议行为准则，按管理权限，依据有关规定给予党纪或组织处理；涉嫌犯罪的，移交司法机关追究刑事责任；给</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单位造成经济损失的，应予以赔偿。</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（二）</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及其工作人员违反本协议行为准则，涉嫌犯罪的，移交司法机关追究刑事责任；给</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单位造成经济损失的，应予以赔偿。</w:t>
      </w:r>
      <w:r>
        <w:rPr>
          <w:rFonts w:ascii="微软雅黑" w:hAnsi="微软雅黑" w:cs="微软雅黑"/>
          <w:szCs w:val="21"/>
        </w:rPr>
      </w:r>
      <w:r/>
    </w:p>
    <w:p>
      <w:pPr>
        <w:pStyle w:val="1044"/>
        <w:ind w:firstLine="630"/>
        <w:spacing w:line="440" w:lineRule="exact"/>
        <w:rPr>
          <w:rFonts w:ascii="微软雅黑" w:hAnsi="微软雅黑" w:cs="微软雅黑"/>
          <w:b/>
          <w:szCs w:val="21"/>
        </w:rPr>
      </w:pPr>
      <w:r>
        <w:rPr>
          <w:rFonts w:hint="eastAsia" w:ascii="微软雅黑" w:hAnsi="微软雅黑" w:cs="微软雅黑"/>
          <w:b/>
          <w:szCs w:val="21"/>
        </w:rPr>
        <w:t xml:space="preserve">第五条联系方式</w:t>
      </w:r>
      <w:r>
        <w:rPr>
          <w:rFonts w:ascii="微软雅黑" w:hAnsi="微软雅黑" w:cs="微软雅黑"/>
          <w:b/>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及其工作人员发现</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及其工作人员违反廉政协议，应向</w:t>
      </w: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廉政举报中心反映情况。</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廉政举报中心电话：86869060</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地址：南京市江宁区龙眠大道101号南京医科大学江宁校区</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邮政编码：211166</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lang w:eastAsia="zh-CN"/>
        </w:rPr>
        <w:t xml:space="preserve">发包人</w:t>
      </w:r>
      <w:r>
        <w:rPr>
          <w:rFonts w:hint="eastAsia" w:ascii="微软雅黑" w:hAnsi="微软雅黑" w:cs="微软雅黑"/>
          <w:szCs w:val="21"/>
        </w:rPr>
        <w:t xml:space="preserve">及其工作人员发现</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及其工作人员违反廉政协议，应向</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有关部门反映情况。</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lang w:eastAsia="zh-CN"/>
        </w:rPr>
        <w:t xml:space="preserve">承包人</w:t>
      </w:r>
      <w:r>
        <w:rPr>
          <w:rFonts w:hint="eastAsia" w:ascii="微软雅黑" w:hAnsi="微软雅黑" w:cs="微软雅黑"/>
          <w:szCs w:val="21"/>
        </w:rPr>
        <w:t xml:space="preserve">有关部门电话：</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地址： </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邮编：</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lang w:eastAsia="zh-CN"/>
        </w:rPr>
        <w:t xml:space="preserve">发包人</w:t>
      </w:r>
      <w:r>
        <w:rPr>
          <w:rFonts w:hint="eastAsia" w:ascii="微软雅黑" w:hAnsi="微软雅黑" w:cs="微软雅黑"/>
          <w:szCs w:val="21"/>
        </w:rPr>
        <w:t xml:space="preserve">（盖公章）：                             </w:t>
      </w:r>
      <w:r>
        <w:rPr>
          <w:rFonts w:hint="eastAsia" w:ascii="微软雅黑" w:hAnsi="微软雅黑" w:cs="微软雅黑"/>
          <w:szCs w:val="21"/>
          <w:lang w:eastAsia="zh-CN"/>
        </w:rPr>
        <w:t xml:space="preserve">承包人</w:t>
      </w:r>
      <w:r>
        <w:rPr>
          <w:rFonts w:hint="eastAsia" w:ascii="微软雅黑" w:hAnsi="微软雅黑" w:cs="微软雅黑"/>
          <w:szCs w:val="21"/>
        </w:rPr>
        <w:t xml:space="preserve">（盖公章）： </w:t>
      </w:r>
      <w:r>
        <w:rPr>
          <w:rFonts w:ascii="微软雅黑" w:hAnsi="微软雅黑" w:cs="微软雅黑"/>
          <w:szCs w:val="21"/>
        </w:rPr>
      </w:r>
      <w:r/>
    </w:p>
    <w:p>
      <w:pPr>
        <w:pStyle w:val="1069"/>
        <w:ind w:left="0" w:right="0"/>
        <w:spacing w:after="0" w:line="440" w:lineRule="exact"/>
        <w:rPr>
          <w:rFonts w:ascii="微软雅黑" w:hAnsi="微软雅黑" w:cs="微软雅黑"/>
          <w:szCs w:val="21"/>
        </w:rPr>
      </w:pP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法人代表或授权代表（签字）：                 法人代表或授权代表（签字）：</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szCs w:val="21"/>
        </w:rPr>
        <w:t xml:space="preserve">                      </w:t>
      </w:r>
      <w:r>
        <w:rPr>
          <w:rFonts w:ascii="微软雅黑" w:hAnsi="微软雅黑" w:cs="微软雅黑"/>
          <w:szCs w:val="21"/>
        </w:rPr>
      </w:r>
      <w:r/>
    </w:p>
    <w:p>
      <w:pPr>
        <w:pStyle w:val="1044"/>
        <w:ind w:firstLine="630"/>
        <w:spacing w:line="440" w:lineRule="exact"/>
        <w:rPr>
          <w:rFonts w:ascii="微软雅黑" w:hAnsi="微软雅黑" w:cs="微软雅黑"/>
          <w:szCs w:val="21"/>
        </w:rPr>
      </w:pPr>
      <w:r>
        <w:rPr>
          <w:rFonts w:hint="eastAsia" w:ascii="微软雅黑" w:hAnsi="微软雅黑" w:cs="微软雅黑"/>
          <w:szCs w:val="21"/>
        </w:rPr>
        <w:t xml:space="preserve">    年    月     日                            年    月     日</w:t>
      </w:r>
      <w:r>
        <w:rPr>
          <w:rFonts w:ascii="微软雅黑" w:hAnsi="微软雅黑" w:cs="微软雅黑"/>
          <w:szCs w:val="21"/>
        </w:rPr>
      </w:r>
      <w:r/>
    </w:p>
    <w:p>
      <w:pPr>
        <w:pStyle w:val="1044"/>
        <w:spacing w:line="440" w:lineRule="exact"/>
        <w:rPr>
          <w:rFonts w:ascii="微软雅黑" w:hAnsi="微软雅黑" w:cs="微软雅黑"/>
          <w:b/>
          <w:szCs w:val="21"/>
        </w:rPr>
      </w:pPr>
      <w:r>
        <w:rPr>
          <w:rFonts w:hint="eastAsia" w:ascii="微软雅黑" w:hAnsi="微软雅黑" w:cs="微软雅黑"/>
          <w:szCs w:val="21"/>
        </w:rPr>
        <w:t xml:space="preserve">  </w:t>
      </w:r>
      <w:r>
        <w:rPr>
          <w:rFonts w:hint="eastAsia" w:ascii="微软雅黑" w:hAnsi="微软雅黑" w:cs="微软雅黑"/>
          <w:b/>
          <w:szCs w:val="21"/>
        </w:rPr>
        <w:t xml:space="preserve">附件4：报价清单（与投标书一致）</w:t>
      </w:r>
      <w:r>
        <w:rPr>
          <w:rFonts w:ascii="微软雅黑" w:hAnsi="微软雅黑" w:cs="微软雅黑"/>
          <w:b/>
          <w:szCs w:val="21"/>
        </w:rPr>
      </w:r>
      <w:r/>
    </w:p>
    <w:p>
      <w:pPr>
        <w:pStyle w:val="1044"/>
        <w:spacing w:line="440" w:lineRule="exact"/>
        <w:rPr>
          <w:rFonts w:ascii="微软雅黑" w:hAnsi="微软雅黑" w:cs="微软雅黑"/>
          <w:b/>
          <w:szCs w:val="21"/>
        </w:rPr>
      </w:pPr>
      <w:r>
        <w:rPr>
          <w:rFonts w:hint="eastAsia" w:ascii="微软雅黑" w:hAnsi="微软雅黑" w:cs="微软雅黑"/>
          <w:b/>
          <w:szCs w:val="21"/>
        </w:rPr>
        <w:t xml:space="preserve">（注：本项目清单以发包人清单为准，相对于发包人清单，承包人清单中若有漏项、缺项、或数量减少，视为承包人对此不需收费，免费完成。）</w:t>
      </w:r>
      <w:r>
        <w:rPr>
          <w:rFonts w:ascii="微软雅黑" w:hAnsi="微软雅黑" w:cs="微软雅黑"/>
          <w:b/>
          <w:szCs w:val="21"/>
        </w:rPr>
      </w:r>
      <w:r/>
    </w:p>
    <w:p>
      <w:pPr>
        <w:pStyle w:val="1044"/>
        <w:rPr>
          <w:rFonts w:hint="eastAsia" w:ascii="微软雅黑" w:hAnsi="微软雅黑" w:cs="微软雅黑"/>
        </w:rPr>
      </w:pPr>
      <w:r>
        <w:rPr>
          <w:rFonts w:hint="eastAsia" w:ascii="微软雅黑" w:hAnsi="微软雅黑" w:cs="微软雅黑"/>
        </w:rPr>
      </w:r>
      <w:r/>
    </w:p>
    <w:p>
      <w:pPr>
        <w:pStyle w:val="1044"/>
        <w:spacing w:line="440" w:lineRule="exact"/>
        <w:rPr>
          <w:rFonts w:hint="eastAsia"/>
        </w:rPr>
      </w:pPr>
      <w:r>
        <w:rPr>
          <w:rFonts w:hint="eastAsia"/>
        </w:rPr>
      </w:r>
      <w:r/>
    </w:p>
    <w:p>
      <w:pPr>
        <w:pStyle w:val="1044"/>
        <w:spacing w:line="440" w:lineRule="exact"/>
        <w:rPr>
          <w:rFonts w:hint="eastAsia" w:ascii="微软雅黑" w:hAnsi="微软雅黑" w:cs="微软雅黑"/>
        </w:rPr>
      </w:pPr>
      <w:r>
        <w:rPr>
          <w:rFonts w:hint="eastAsia" w:ascii="微软雅黑" w:hAnsi="微软雅黑" w:cs="微软雅黑"/>
        </w:rPr>
      </w:r>
      <w:r/>
    </w:p>
    <w:p>
      <w:pPr>
        <w:pStyle w:val="1044"/>
        <w:jc w:val="right"/>
        <w:spacing w:line="400" w:lineRule="exact"/>
        <w:rPr>
          <w:rFonts w:hint="eastAsia" w:ascii="微软雅黑" w:hAnsi="微软雅黑" w:cs="微软雅黑"/>
          <w:szCs w:val="21"/>
        </w:rPr>
      </w:pPr>
      <w:r>
        <w:rPr>
          <w:rFonts w:hint="eastAsia" w:ascii="微软雅黑" w:hAnsi="微软雅黑" w:cs="微软雅黑"/>
          <w:szCs w:val="21"/>
        </w:rPr>
      </w:r>
      <w:r/>
    </w:p>
    <w:p>
      <w:pPr>
        <w:pStyle w:val="1045"/>
        <w:rPr>
          <w:rFonts w:ascii="微软雅黑" w:hAnsi="微软雅黑" w:cs="微软雅黑"/>
          <w:szCs w:val="32"/>
        </w:rPr>
      </w:pPr>
      <w:r>
        <w:rPr>
          <w:rFonts w:hint="eastAsia" w:ascii="微软雅黑" w:hAnsi="微软雅黑" w:cs="微软雅黑"/>
        </w:rPr>
        <w:br w:type="page" w:clear="all"/>
      </w:r>
      <w:bookmarkStart w:id="278" w:name="_Toc13204"/>
      <w:r/>
      <w:bookmarkStart w:id="279" w:name="_Toc8843"/>
      <w:r>
        <w:rPr>
          <w:rFonts w:hint="eastAsia" w:ascii="微软雅黑" w:hAnsi="微软雅黑" w:cs="微软雅黑"/>
        </w:rPr>
        <w:t xml:space="preserve">第六章 投标文件格式</w:t>
      </w:r>
      <w:bookmarkEnd w:id="278"/>
      <w:r>
        <w:rPr>
          <w:rFonts w:hint="eastAsia" w:ascii="微软雅黑" w:hAnsi="微软雅黑" w:cs="微软雅黑"/>
        </w:rPr>
        <w:t xml:space="preserve">及附件</w:t>
      </w:r>
      <w:bookmarkEnd w:id="279"/>
      <w:r>
        <w:rPr>
          <w:rFonts w:ascii="微软雅黑" w:hAnsi="微软雅黑" w:cs="微软雅黑"/>
          <w:szCs w:val="32"/>
        </w:rPr>
      </w:r>
      <w:r/>
    </w:p>
    <w:p>
      <w:pPr>
        <w:pStyle w:val="1044"/>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hint="eastAsia" w:ascii="微软雅黑" w:hAnsi="微软雅黑" w:cs="微软雅黑"/>
          <w:b/>
          <w:bCs/>
          <w:sz w:val="24"/>
          <w:szCs w:val="24"/>
        </w:rPr>
      </w:r>
      <w:r/>
    </w:p>
    <w:p>
      <w:pPr>
        <w:pStyle w:val="1044"/>
        <w:ind w:left="425" w:hanging="205"/>
        <w:jc w:val="left"/>
        <w:spacing w:line="400" w:lineRule="exact"/>
        <w:widowControl/>
        <w:rPr>
          <w:szCs w:val="21"/>
        </w:rPr>
      </w:pPr>
      <w:r>
        <w:rPr>
          <w:szCs w:val="21"/>
        </w:rPr>
        <w:t xml:space="preserve">1.</w:t>
      </w:r>
      <w:r>
        <w:rPr>
          <w:rFonts w:hint="eastAsia" w:ascii="微软雅黑" w:hAnsi="微软雅黑" w:cs="微软雅黑"/>
          <w:szCs w:val="21"/>
        </w:rPr>
        <w:t xml:space="preserve">本部分内容仅供格式参考。</w:t>
      </w:r>
      <w:r>
        <w:rPr>
          <w:szCs w:val="21"/>
        </w:rPr>
      </w:r>
      <w:r/>
    </w:p>
    <w:p>
      <w:pPr>
        <w:pStyle w:val="1070"/>
        <w:ind w:left="425" w:hanging="205"/>
        <w:spacing w:line="400" w:lineRule="exact"/>
        <w:rPr>
          <w:rFonts w:hint="eastAsia" w:ascii="微软雅黑" w:hAnsi="微软雅黑" w:cs="微软雅黑"/>
          <w:szCs w:val="21"/>
        </w:rPr>
      </w:pPr>
      <w:r>
        <w:rPr>
          <w:rFonts w:ascii="微软雅黑" w:hAnsi="微软雅黑" w:cs="微软雅黑"/>
          <w:szCs w:val="21"/>
        </w:rPr>
        <w:t xml:space="preserve">2.</w:t>
      </w: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szCs w:val="21"/>
        </w:rPr>
      </w:r>
      <w:r/>
    </w:p>
    <w:p>
      <w:pPr>
        <w:pStyle w:val="1044"/>
        <w:ind w:left="425" w:hanging="205"/>
        <w:spacing w:line="400" w:lineRule="exact"/>
        <w:rPr>
          <w:rFonts w:hint="eastAsia"/>
          <w:szCs w:val="21"/>
        </w:rPr>
      </w:pPr>
      <w:r>
        <w:rPr>
          <w:szCs w:val="21"/>
        </w:rPr>
        <w:t xml:space="preserve">3.</w:t>
      </w:r>
      <w:r>
        <w:rPr>
          <w:rFonts w:hint="eastAsia"/>
          <w:szCs w:val="21"/>
        </w:rPr>
        <w:t xml:space="preserve">供应商提交的材料不予退还。</w:t>
      </w:r>
      <w:r>
        <w:rPr>
          <w:rFonts w:hint="eastAsia"/>
          <w:szCs w:val="21"/>
        </w:rPr>
      </w:r>
      <w:r/>
    </w:p>
    <w:p>
      <w:pPr>
        <w:pStyle w:val="1070"/>
        <w:ind w:left="1260"/>
        <w:rPr>
          <w:rFonts w:hint="eastAsia"/>
        </w:rPr>
      </w:pPr>
      <w:r>
        <w:rPr>
          <w:rFonts w:hint="eastAsia"/>
        </w:rPr>
      </w:r>
      <w:r/>
    </w:p>
    <w:p>
      <w:pPr>
        <w:pStyle w:val="1044"/>
        <w:jc w:val="center"/>
        <w:spacing w:line="420" w:lineRule="exact"/>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44"/>
        <w:jc w:val="center"/>
        <w:spacing w:line="360" w:lineRule="auto"/>
        <w:rPr>
          <w:rFonts w:hint="eastAsia" w:ascii="微软雅黑" w:hAnsi="微软雅黑" w:cs="微软雅黑"/>
        </w:rPr>
      </w:pPr>
      <w:r>
        <w:rPr>
          <w:rFonts w:hint="eastAsia" w:ascii="微软雅黑" w:hAnsi="微软雅黑" w:cs="微软雅黑"/>
        </w:rPr>
      </w:r>
      <w:r/>
    </w:p>
    <w:p>
      <w:pPr>
        <w:pStyle w:val="1044"/>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投标文件</w:t>
      </w:r>
      <w:r>
        <w:rPr>
          <w:rFonts w:hint="eastAsia" w:ascii="微软雅黑" w:hAnsi="微软雅黑" w:cs="微软雅黑"/>
          <w:sz w:val="56"/>
          <w:szCs w:val="56"/>
        </w:rPr>
      </w:r>
      <w:r/>
    </w:p>
    <w:p>
      <w:pPr>
        <w:pStyle w:val="1044"/>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1044"/>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1044"/>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44"/>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44"/>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44"/>
        <w:spacing w:line="360" w:lineRule="auto"/>
        <w:rPr>
          <w:rFonts w:hint="eastAsia"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rPr>
          <w:rFonts w:hint="eastAsia" w:ascii="微软雅黑" w:hAnsi="微软雅黑" w:cs="微软雅黑"/>
          <w:sz w:val="32"/>
          <w:szCs w:val="32"/>
        </w:rPr>
      </w:r>
      <w:r/>
    </w:p>
    <w:p>
      <w:pPr>
        <w:pStyle w:val="1044"/>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044"/>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044"/>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44"/>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44"/>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44"/>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1044"/>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044"/>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044"/>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044"/>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44"/>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44"/>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044"/>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0"/>
        <w:jc w:val="center"/>
        <w:rPr>
          <w:rFonts w:hint="eastAsia"/>
          <w:b/>
          <w:bCs/>
          <w:sz w:val="28"/>
          <w:szCs w:val="28"/>
        </w:rPr>
      </w:pPr>
      <w:r>
        <w:rPr>
          <w:rFonts w:hint="eastAsia"/>
          <w:b/>
          <w:bCs/>
          <w:sz w:val="28"/>
          <w:szCs w:val="28"/>
        </w:rPr>
        <w:t xml:space="preserve">资格审查索引表</w:t>
      </w:r>
      <w:r>
        <w:rPr>
          <w:rFonts w:hint="eastAsia"/>
          <w:b/>
          <w:bCs/>
          <w:sz w:val="28"/>
          <w:szCs w:val="28"/>
        </w:rPr>
      </w:r>
      <w:r/>
    </w:p>
    <w:p>
      <w:pPr>
        <w:pStyle w:val="1044"/>
        <w:jc w:val="center"/>
        <w:rPr>
          <w:b/>
          <w:bCs/>
          <w:sz w:val="24"/>
          <w:szCs w:val="24"/>
        </w:rPr>
      </w:pPr>
      <w:r>
        <w:rPr>
          <w:rFonts w:hint="eastAsia"/>
          <w:b/>
          <w:bCs/>
          <w:sz w:val="24"/>
          <w:szCs w:val="24"/>
        </w:rPr>
        <w:t xml:space="preserve">（具体详见第一章投标邀请申请人的资格要求）</w:t>
      </w:r>
      <w:r>
        <w:rPr>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44"/>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44"/>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rPr>
                <w:rFonts w:ascii="微软雅黑" w:hAnsi="微软雅黑" w:cs="微软雅黑"/>
                <w:b/>
                <w:bCs/>
                <w:szCs w:val="21"/>
              </w:rPr>
            </w:r>
            <w:r/>
          </w:p>
        </w:tc>
        <w:tc>
          <w:tcPr>
            <w:tcW w:w="1238" w:type="dxa"/>
            <w:vAlign w:val="center"/>
            <w:textDirection w:val="lrTb"/>
            <w:noWrap w:val="false"/>
          </w:tcPr>
          <w:p>
            <w:pPr>
              <w:pStyle w:val="1044"/>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44"/>
        <w:spacing w:line="420" w:lineRule="exact"/>
        <w:rPr>
          <w:rFonts w:hint="eastAsia" w:ascii="微软雅黑" w:hAnsi="微软雅黑" w:cs="微软雅黑"/>
        </w:rPr>
      </w:pPr>
      <w:r>
        <w:rPr>
          <w:rFonts w:hint="eastAsia" w:ascii="微软雅黑" w:hAnsi="微软雅黑" w:cs="微软雅黑"/>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ascii="微软雅黑" w:hAnsi="微软雅黑" w:cs="微软雅黑"/>
          <w:sz w:val="24"/>
          <w:szCs w:val="21"/>
        </w:rPr>
      </w:pPr>
      <w:r>
        <w:rPr>
          <w:rFonts w:hint="eastAsia" w:ascii="微软雅黑" w:hAnsi="微软雅黑" w:cs="微软雅黑"/>
          <w:sz w:val="24"/>
          <w:szCs w:val="21"/>
        </w:rPr>
      </w:r>
      <w:r/>
    </w:p>
    <w:p>
      <w:pPr>
        <w:pStyle w:val="1044"/>
        <w:rPr>
          <w:rFonts w:hint="eastAsia" w:ascii="微软雅黑" w:hAnsi="微软雅黑" w:cs="微软雅黑"/>
          <w:sz w:val="24"/>
          <w:szCs w:val="21"/>
        </w:rPr>
      </w:pPr>
      <w:r>
        <w:rPr>
          <w:rFonts w:hint="eastAsia" w:ascii="微软雅黑" w:hAnsi="微软雅黑" w:cs="微软雅黑"/>
          <w:sz w:val="24"/>
          <w:szCs w:val="21"/>
        </w:rPr>
      </w:r>
      <w:r/>
    </w:p>
    <w:p>
      <w:pPr>
        <w:pStyle w:val="1070"/>
        <w:ind w:left="1260"/>
        <w:rPr>
          <w:rFonts w:hint="eastAsia"/>
        </w:rPr>
      </w:pPr>
      <w:r>
        <w:rPr>
          <w:rFonts w:hint="eastAsia"/>
        </w:rPr>
      </w:r>
      <w:r/>
    </w:p>
    <w:p>
      <w:pPr>
        <w:pStyle w:val="1070"/>
        <w:ind w:left="0"/>
        <w:jc w:val="center"/>
        <w:rPr>
          <w:rFonts w:hint="eastAsia"/>
          <w:b/>
          <w:bCs/>
          <w:sz w:val="28"/>
          <w:szCs w:val="28"/>
        </w:rPr>
      </w:pPr>
      <w:r>
        <w:rPr>
          <w:rFonts w:hint="eastAsia"/>
          <w:b/>
          <w:bCs/>
          <w:sz w:val="28"/>
          <w:szCs w:val="28"/>
        </w:rPr>
        <w:t xml:space="preserve">评分索引表</w:t>
      </w:r>
      <w:r>
        <w:rPr>
          <w:rFonts w:hint="eastAsia"/>
          <w:b/>
          <w:bCs/>
          <w:sz w:val="28"/>
          <w:szCs w:val="28"/>
        </w:rPr>
      </w:r>
      <w:r/>
    </w:p>
    <w:p>
      <w:pPr>
        <w:pStyle w:val="1044"/>
        <w:jc w:val="center"/>
        <w:rPr>
          <w:b/>
          <w:bCs/>
          <w:sz w:val="24"/>
          <w:szCs w:val="24"/>
        </w:rPr>
      </w:pPr>
      <w:r>
        <w:rPr>
          <w:rFonts w:hint="eastAsia"/>
          <w:b/>
          <w:bCs/>
          <w:sz w:val="24"/>
          <w:szCs w:val="24"/>
        </w:rPr>
        <w:t xml:space="preserve">（具体详见第三章评标办法和定标原则）</w:t>
      </w:r>
      <w:r>
        <w:rPr>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44"/>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44"/>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rPr>
                <w:rFonts w:ascii="微软雅黑" w:hAnsi="微软雅黑" w:cs="微软雅黑"/>
                <w:b/>
                <w:bCs/>
                <w:szCs w:val="21"/>
              </w:rPr>
            </w:r>
            <w:r/>
          </w:p>
        </w:tc>
        <w:tc>
          <w:tcPr>
            <w:tcW w:w="1238" w:type="dxa"/>
            <w:vAlign w:val="center"/>
            <w:textDirection w:val="lrTb"/>
            <w:noWrap w:val="false"/>
          </w:tcPr>
          <w:p>
            <w:pPr>
              <w:pStyle w:val="1044"/>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44"/>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44"/>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44"/>
        <w:spacing w:line="420" w:lineRule="exact"/>
        <w:rPr>
          <w:rFonts w:hint="eastAsia" w:ascii="微软雅黑" w:hAnsi="微软雅黑" w:cs="微软雅黑"/>
        </w:rPr>
      </w:pPr>
      <w:r>
        <w:rPr>
          <w:rFonts w:hint="eastAsia" w:ascii="微软雅黑" w:hAnsi="微软雅黑" w:cs="微软雅黑"/>
        </w:rPr>
      </w:r>
      <w:r/>
    </w:p>
    <w:p>
      <w:pPr>
        <w:pStyle w:val="1044"/>
        <w:spacing w:line="420" w:lineRule="exact"/>
        <w:rPr>
          <w:rFonts w:hint="eastAsia" w:ascii="微软雅黑" w:hAnsi="微软雅黑" w:cs="微软雅黑"/>
        </w:rPr>
      </w:pPr>
      <w:r>
        <w:rPr>
          <w:rFonts w:hint="eastAsia" w:ascii="微软雅黑" w:hAnsi="微软雅黑" w:cs="微软雅黑"/>
        </w:rPr>
      </w:r>
      <w:r/>
    </w:p>
    <w:p>
      <w:pPr>
        <w:pStyle w:val="1046"/>
        <w:rPr>
          <w:rFonts w:hint="eastAsia" w:ascii="微软雅黑" w:hAnsi="微软雅黑" w:cs="微软雅黑"/>
          <w:szCs w:val="30"/>
        </w:rPr>
      </w:pPr>
      <w:r>
        <w:rPr>
          <w:rFonts w:hint="eastAsia" w:ascii="微软雅黑" w:hAnsi="微软雅黑" w:cs="微软雅黑"/>
        </w:rPr>
        <w:br w:type="page" w:clear="all"/>
      </w:r>
      <w:bookmarkStart w:id="280" w:name="_Toc24615"/>
      <w:r/>
      <w:bookmarkStart w:id="281" w:name="_Toc26491"/>
      <w:r>
        <w:rPr>
          <w:rFonts w:hint="eastAsia" w:ascii="微软雅黑" w:hAnsi="微软雅黑" w:cs="微软雅黑"/>
        </w:rPr>
        <w:t xml:space="preserve">一、投标函、投标报价及项目相关文件</w:t>
      </w:r>
      <w:bookmarkEnd w:id="280"/>
      <w:r/>
      <w:bookmarkEnd w:id="281"/>
      <w:r>
        <w:rPr>
          <w:rFonts w:hint="eastAsia" w:ascii="微软雅黑" w:hAnsi="微软雅黑" w:cs="微软雅黑"/>
          <w:szCs w:val="30"/>
        </w:rPr>
      </w:r>
      <w:r/>
    </w:p>
    <w:p>
      <w:pPr>
        <w:pStyle w:val="1047"/>
        <w:rPr>
          <w:rFonts w:hint="eastAsia" w:ascii="微软雅黑" w:hAnsi="微软雅黑" w:cs="微软雅黑"/>
          <w:b/>
          <w:bCs w:val="0"/>
          <w:sz w:val="24"/>
          <w:szCs w:val="24"/>
        </w:rPr>
      </w:pPr>
      <w:r/>
      <w:bookmarkStart w:id="282" w:name="_Toc11299"/>
      <w:r/>
      <w:bookmarkStart w:id="283" w:name="_Toc8176"/>
      <w:r>
        <w:rPr>
          <w:rFonts w:hint="eastAsia" w:ascii="微软雅黑" w:hAnsi="微软雅黑" w:cs="微软雅黑"/>
          <w:b/>
          <w:bCs w:val="0"/>
          <w:sz w:val="24"/>
          <w:szCs w:val="24"/>
        </w:rPr>
        <w:t xml:space="preserve">1.投标函</w:t>
      </w:r>
      <w:bookmarkEnd w:id="282"/>
      <w:r/>
      <w:bookmarkEnd w:id="283"/>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1044"/>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r>
      <w:r/>
    </w:p>
    <w:p>
      <w:pPr>
        <w:pStyle w:val="1070"/>
        <w:ind w:left="1260"/>
        <w:rPr>
          <w:rFonts w:hint="eastAsia" w:ascii="微软雅黑" w:hAnsi="微软雅黑" w:cs="微软雅黑"/>
        </w:rPr>
      </w:pPr>
      <w:r>
        <w:rPr>
          <w:rFonts w:hint="eastAsia" w:ascii="微软雅黑" w:hAnsi="微软雅黑" w:cs="微软雅黑"/>
        </w:rPr>
      </w:r>
      <w:r/>
    </w:p>
    <w:p>
      <w:pPr>
        <w:pStyle w:val="1044"/>
        <w:rPr>
          <w:rFonts w:hint="eastAsia" w:ascii="微软雅黑" w:hAnsi="微软雅黑" w:cs="微软雅黑"/>
        </w:rPr>
      </w:pPr>
      <w:r>
        <w:rPr>
          <w:rFonts w:hint="eastAsia" w:ascii="微软雅黑" w:hAnsi="微软雅黑" w:cs="微软雅黑"/>
        </w:rPr>
      </w:r>
      <w:r/>
    </w:p>
    <w:p>
      <w:pPr>
        <w:pStyle w:val="1070"/>
        <w:ind w:left="1260"/>
        <w:rPr>
          <w:rFonts w:hint="eastAsia" w:ascii="微软雅黑" w:hAnsi="微软雅黑" w:cs="微软雅黑"/>
        </w:rPr>
      </w:pPr>
      <w:r>
        <w:rPr>
          <w:rFonts w:hint="eastAsia" w:ascii="微软雅黑" w:hAnsi="微软雅黑" w:cs="微软雅黑"/>
        </w:rPr>
      </w:r>
      <w:r/>
    </w:p>
    <w:p>
      <w:pPr>
        <w:pStyle w:val="1044"/>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047"/>
        <w:rPr>
          <w:rFonts w:hint="eastAsia" w:ascii="微软雅黑" w:hAnsi="微软雅黑" w:cs="微软雅黑"/>
          <w:b/>
          <w:sz w:val="24"/>
          <w:szCs w:val="24"/>
        </w:rPr>
      </w:pPr>
      <w:r/>
      <w:bookmarkStart w:id="284" w:name="_Toc21769"/>
      <w:r/>
      <w:bookmarkStart w:id="285" w:name="_Toc19055"/>
      <w:r/>
      <w:bookmarkStart w:id="286" w:name="_Toc301880430"/>
      <w:r/>
      <w:bookmarkStart w:id="287" w:name="_Toc22566"/>
      <w:r/>
      <w:bookmarkStart w:id="288" w:name="_Toc29515"/>
      <w:r/>
      <w:bookmarkStart w:id="289" w:name="_ 二、资格证明文件"/>
      <w:r>
        <w:rPr>
          <w:rFonts w:hint="eastAsia" w:ascii="微软雅黑" w:hAnsi="微软雅黑" w:cs="微软雅黑"/>
          <w:b/>
          <w:sz w:val="24"/>
          <w:szCs w:val="24"/>
        </w:rPr>
        <w:t xml:space="preserve">2、投标承诺书</w:t>
      </w:r>
      <w:bookmarkEnd w:id="284"/>
      <w:r/>
      <w:bookmarkEnd w:id="285"/>
      <w:r/>
      <w:bookmarkEnd w:id="286"/>
      <w:r/>
      <w:bookmarkEnd w:id="287"/>
      <w:r/>
      <w:bookmarkEnd w:id="288"/>
      <w:r>
        <w:rPr>
          <w:rFonts w:hint="eastAsia" w:ascii="微软雅黑" w:hAnsi="微软雅黑" w:cs="微软雅黑"/>
          <w:b/>
          <w:sz w:val="24"/>
          <w:szCs w:val="24"/>
        </w:rPr>
      </w:r>
      <w:r/>
    </w:p>
    <w:p>
      <w:pPr>
        <w:pStyle w:val="1044"/>
        <w:spacing w:line="600" w:lineRule="exact"/>
        <w:rPr>
          <w:rFonts w:ascii="微软雅黑" w:hAnsi="微软雅黑" w:cs="微软雅黑"/>
        </w:rPr>
      </w:pPr>
      <w:r>
        <w:rPr>
          <w:rFonts w:hint="eastAsia" w:ascii="微软雅黑" w:hAnsi="微软雅黑" w:cs="微软雅黑"/>
        </w:rPr>
        <w:t xml:space="preserve">（招标人）</w:t>
      </w:r>
      <w:r>
        <w:rPr>
          <w:rFonts w:hint="eastAsia" w:ascii="微软雅黑" w:hAnsi="微软雅黑" w:cs="微软雅黑"/>
          <w:u w:val="single"/>
        </w:rPr>
        <w:t xml:space="preserve">                          </w:t>
      </w:r>
      <w:r>
        <w:rPr>
          <w:rFonts w:hint="eastAsia" w:ascii="微软雅黑" w:hAnsi="微软雅黑" w:cs="微软雅黑"/>
        </w:rPr>
        <w:t xml:space="preserve">：</w:t>
      </w:r>
      <w:r>
        <w:rPr>
          <w:rFonts w:ascii="微软雅黑" w:hAnsi="微软雅黑" w:cs="微软雅黑"/>
        </w:rPr>
      </w:r>
      <w:r/>
    </w:p>
    <w:p>
      <w:pPr>
        <w:pStyle w:val="1044"/>
        <w:jc w:val="left"/>
        <w:spacing w:line="600" w:lineRule="exact"/>
        <w:rPr>
          <w:rFonts w:ascii="微软雅黑" w:hAnsi="微软雅黑" w:cs="微软雅黑"/>
        </w:rPr>
      </w:pPr>
      <w:r>
        <w:rPr>
          <w:rFonts w:hint="eastAsia" w:ascii="微软雅黑" w:hAnsi="微软雅黑" w:cs="微软雅黑"/>
        </w:rPr>
        <w:t xml:space="preserve">为了充分体现公平竞争、诚信投标行为，我单位对参与</w:t>
      </w:r>
      <w:r>
        <w:rPr>
          <w:rFonts w:hint="eastAsia" w:ascii="微软雅黑" w:hAnsi="微软雅黑" w:cs="微软雅黑"/>
          <w:u w:val="single"/>
        </w:rPr>
        <w:t xml:space="preserve">                               </w:t>
      </w:r>
      <w:r>
        <w:rPr>
          <w:rFonts w:hint="eastAsia" w:ascii="微软雅黑" w:hAnsi="微软雅黑" w:cs="微软雅黑"/>
        </w:rPr>
        <w:t xml:space="preserve">项目的投标作出如下承诺：</w:t>
      </w:r>
      <w:r>
        <w:rPr>
          <w:rFonts w:ascii="微软雅黑" w:hAnsi="微软雅黑" w:cs="微软雅黑"/>
        </w:rPr>
      </w:r>
      <w:r/>
    </w:p>
    <w:p>
      <w:pPr>
        <w:pStyle w:val="1044"/>
        <w:spacing w:line="600" w:lineRule="exact"/>
        <w:rPr>
          <w:rFonts w:ascii="微软雅黑" w:hAnsi="微软雅黑" w:cs="微软雅黑"/>
        </w:rPr>
      </w:pPr>
      <w:r>
        <w:rPr>
          <w:rFonts w:hint="eastAsia" w:ascii="微软雅黑" w:hAnsi="微软雅黑" w:cs="微软雅黑"/>
        </w:rPr>
        <w:t xml:space="preserve">1 、严格遵守国家【政府采购法】及相关法律、法规，没有围标、串标、资质挂靠等违法、违规行为，投标文件所投入的管理、技术人员均为我公司正式在职人员；</w:t>
      </w:r>
      <w:r>
        <w:rPr>
          <w:rFonts w:ascii="微软雅黑" w:hAnsi="微软雅黑" w:cs="微软雅黑"/>
        </w:rPr>
      </w:r>
      <w:r/>
    </w:p>
    <w:p>
      <w:pPr>
        <w:pStyle w:val="1044"/>
        <w:spacing w:line="600" w:lineRule="exact"/>
        <w:rPr>
          <w:rFonts w:ascii="微软雅黑" w:hAnsi="微软雅黑" w:cs="微软雅黑"/>
        </w:rPr>
      </w:pPr>
      <w:r>
        <w:rPr>
          <w:rFonts w:hint="eastAsia" w:ascii="微软雅黑" w:hAnsi="微软雅黑" w:cs="微软雅黑"/>
        </w:rPr>
        <w:t xml:space="preserve">2 、提供的资质、业绩等证明材料真实、合法、有效；</w:t>
      </w:r>
      <w:r>
        <w:rPr>
          <w:rFonts w:ascii="微软雅黑" w:hAnsi="微软雅黑" w:cs="微软雅黑"/>
        </w:rPr>
      </w:r>
      <w:r/>
    </w:p>
    <w:p>
      <w:pPr>
        <w:pStyle w:val="1044"/>
        <w:spacing w:line="600" w:lineRule="exact"/>
        <w:rPr>
          <w:rFonts w:ascii="微软雅黑" w:hAnsi="微软雅黑" w:cs="微软雅黑"/>
        </w:rPr>
      </w:pPr>
      <w:r>
        <w:rPr>
          <w:rFonts w:hint="eastAsia" w:ascii="微软雅黑" w:hAnsi="微软雅黑" w:cs="微软雅黑"/>
        </w:rPr>
        <w:t xml:space="preserve">3、不参与不正当竞争，不向招标人、招标代理机构、交易中心、评标专家以及行业监督部门行贿以谋取不正当利益；</w:t>
      </w:r>
      <w:r>
        <w:rPr>
          <w:rFonts w:ascii="微软雅黑" w:hAnsi="微软雅黑" w:cs="微软雅黑"/>
        </w:rPr>
      </w:r>
      <w:r/>
    </w:p>
    <w:p>
      <w:pPr>
        <w:pStyle w:val="1044"/>
        <w:spacing w:line="600" w:lineRule="exact"/>
        <w:rPr>
          <w:rFonts w:ascii="微软雅黑" w:hAnsi="微软雅黑" w:cs="微软雅黑"/>
        </w:rPr>
      </w:pPr>
      <w:r>
        <w:rPr>
          <w:rFonts w:hint="eastAsia" w:ascii="微软雅黑" w:hAnsi="微软雅黑" w:cs="微软雅黑"/>
        </w:rPr>
        <w:t xml:space="preserve">4、严格按照招、投标文件约定签订合同，不将中标项目违法分包或转包；</w:t>
      </w:r>
      <w:r>
        <w:rPr>
          <w:rFonts w:ascii="微软雅黑" w:hAnsi="微软雅黑" w:cs="微软雅黑"/>
        </w:rPr>
      </w:r>
      <w:r/>
    </w:p>
    <w:p>
      <w:pPr>
        <w:pStyle w:val="1044"/>
        <w:spacing w:line="600" w:lineRule="exact"/>
        <w:rPr>
          <w:rFonts w:ascii="微软雅黑" w:hAnsi="微软雅黑" w:cs="微软雅黑"/>
        </w:rPr>
      </w:pPr>
      <w:r>
        <w:rPr>
          <w:rFonts w:hint="eastAsia" w:ascii="微软雅黑" w:hAnsi="微软雅黑" w:cs="微软雅黑"/>
        </w:rPr>
        <w:t xml:space="preserve">5、保证项目关键岗位人员能够按期到位，特殊情况需要变更的，严格按程序办理；</w:t>
      </w:r>
      <w:r>
        <w:rPr>
          <w:rFonts w:ascii="微软雅黑" w:hAnsi="微软雅黑" w:cs="微软雅黑"/>
        </w:rPr>
      </w:r>
      <w:r/>
    </w:p>
    <w:p>
      <w:pPr>
        <w:pStyle w:val="1044"/>
        <w:spacing w:line="600" w:lineRule="exact"/>
        <w:rPr>
          <w:rFonts w:ascii="微软雅黑" w:hAnsi="微软雅黑" w:cs="微软雅黑"/>
        </w:rPr>
      </w:pPr>
      <w:r>
        <w:rPr>
          <w:rFonts w:hint="eastAsia" w:ascii="微软雅黑" w:hAnsi="微软雅黑" w:cs="微软雅黑"/>
        </w:rPr>
        <w:t xml:space="preserve">6、主动接受行业监督部门、业主及社会各界的监督，如有违反，接受相应处罚，直至被追究法律责任。</w:t>
      </w:r>
      <w:r>
        <w:rPr>
          <w:rFonts w:ascii="微软雅黑" w:hAnsi="微软雅黑" w:cs="微软雅黑"/>
        </w:rPr>
      </w:r>
      <w:r/>
    </w:p>
    <w:p>
      <w:pPr>
        <w:pStyle w:val="1044"/>
        <w:spacing w:line="600" w:lineRule="exact"/>
        <w:rPr>
          <w:rFonts w:ascii="微软雅黑" w:hAnsi="微软雅黑" w:cs="微软雅黑"/>
        </w:rPr>
      </w:pPr>
      <w:r>
        <w:rPr>
          <w:rFonts w:ascii="微软雅黑" w:hAnsi="微软雅黑" w:cs="微软雅黑"/>
        </w:rPr>
      </w:r>
      <w:r/>
    </w:p>
    <w:p>
      <w:pPr>
        <w:pStyle w:val="1044"/>
        <w:jc w:val="center"/>
        <w:spacing w:line="600" w:lineRule="exact"/>
        <w:rPr>
          <w:rFonts w:ascii="微软雅黑" w:hAnsi="微软雅黑" w:cs="微软雅黑"/>
          <w:szCs w:val="21"/>
        </w:rPr>
      </w:pPr>
      <w:r>
        <w:rPr>
          <w:rFonts w:hint="eastAsia" w:ascii="微软雅黑" w:hAnsi="微软雅黑" w:cs="微软雅黑"/>
          <w:szCs w:val="21"/>
        </w:rPr>
        <w:t xml:space="preserve">承诺单位（盖章）：</w:t>
      </w:r>
      <w:r>
        <w:rPr>
          <w:rFonts w:hint="eastAsia" w:ascii="微软雅黑" w:hAnsi="微软雅黑" w:cs="微软雅黑"/>
          <w:szCs w:val="21"/>
          <w:u w:val="single"/>
        </w:rPr>
        <w:t xml:space="preserve">                  </w:t>
      </w:r>
      <w:r>
        <w:rPr>
          <w:rFonts w:ascii="微软雅黑" w:hAnsi="微软雅黑" w:cs="微软雅黑"/>
          <w:szCs w:val="21"/>
        </w:rPr>
      </w:r>
      <w:r/>
    </w:p>
    <w:p>
      <w:pPr>
        <w:pStyle w:val="1044"/>
        <w:jc w:val="center"/>
        <w:spacing w:line="600" w:lineRule="exact"/>
        <w:rPr>
          <w:rFonts w:hint="eastAsia" w:ascii="微软雅黑" w:hAnsi="微软雅黑" w:cs="微软雅黑"/>
          <w:szCs w:val="21"/>
          <w:u w:val="single"/>
        </w:rPr>
      </w:pPr>
      <w:r>
        <w:rPr>
          <w:rFonts w:hint="eastAsia" w:ascii="微软雅黑" w:hAnsi="微软雅黑" w:cs="微软雅黑"/>
          <w:b/>
          <w:bCs/>
          <w:szCs w:val="21"/>
        </w:rPr>
        <w:t xml:space="preserve"> 法定代表人（签字）</w:t>
      </w:r>
      <w:r>
        <w:rPr>
          <w:rFonts w:hint="eastAsia" w:ascii="微软雅黑" w:hAnsi="微软雅黑" w:cs="微软雅黑"/>
          <w:szCs w:val="21"/>
        </w:rPr>
        <w:t xml:space="preserve">：</w:t>
      </w:r>
      <w:r>
        <w:rPr>
          <w:rFonts w:hint="eastAsia" w:ascii="微软雅黑" w:hAnsi="微软雅黑" w:cs="微软雅黑"/>
          <w:szCs w:val="21"/>
          <w:u w:val="single"/>
        </w:rPr>
        <w:t xml:space="preserve">                  </w:t>
      </w:r>
      <w:r>
        <w:rPr>
          <w:rFonts w:hint="eastAsia" w:ascii="微软雅黑" w:hAnsi="微软雅黑" w:cs="微软雅黑"/>
          <w:szCs w:val="21"/>
          <w:u w:val="single"/>
        </w:rPr>
      </w:r>
      <w:r/>
    </w:p>
    <w:p>
      <w:pPr>
        <w:pStyle w:val="1044"/>
        <w:jc w:val="center"/>
        <w:spacing w:line="600" w:lineRule="exact"/>
        <w:rPr>
          <w:rFonts w:ascii="微软雅黑" w:hAnsi="微软雅黑" w:cs="微软雅黑"/>
          <w:szCs w:val="21"/>
          <w:u w:val="single"/>
        </w:rPr>
      </w:pPr>
      <w:r>
        <w:rPr>
          <w:rFonts w:hint="eastAsia" w:ascii="微软雅黑" w:hAnsi="微软雅黑" w:cs="微软雅黑"/>
          <w:szCs w:val="21"/>
        </w:rPr>
        <w:t xml:space="preserve">授权代表（签字）：</w:t>
      </w:r>
      <w:r>
        <w:rPr>
          <w:rFonts w:hint="eastAsia" w:ascii="微软雅黑" w:hAnsi="微软雅黑" w:cs="微软雅黑"/>
          <w:szCs w:val="21"/>
          <w:u w:val="single"/>
        </w:rPr>
        <w:t xml:space="preserve">                   </w:t>
      </w:r>
      <w:r>
        <w:rPr>
          <w:rFonts w:ascii="微软雅黑" w:hAnsi="微软雅黑" w:cs="微软雅黑"/>
          <w:szCs w:val="21"/>
          <w:u w:val="single"/>
        </w:rPr>
      </w:r>
      <w:r/>
    </w:p>
    <w:p>
      <w:pPr>
        <w:pStyle w:val="1044"/>
        <w:ind w:right="480"/>
        <w:jc w:val="center"/>
        <w:spacing w:line="600" w:lineRule="exact"/>
        <w:rPr>
          <w:rFonts w:ascii="微软雅黑" w:hAnsi="微软雅黑" w:cs="微软雅黑"/>
          <w:szCs w:val="21"/>
        </w:rPr>
      </w:pPr>
      <w:r>
        <w:rPr>
          <w:rFonts w:hint="eastAsia" w:ascii="微软雅黑" w:hAnsi="微软雅黑" w:cs="微软雅黑"/>
          <w:szCs w:val="21"/>
        </w:rPr>
        <w:t xml:space="preserve">       联系电话（手机号码）：</w:t>
      </w:r>
      <w:r>
        <w:rPr>
          <w:rFonts w:hint="eastAsia" w:ascii="微软雅黑" w:hAnsi="微软雅黑" w:cs="微软雅黑"/>
          <w:szCs w:val="21"/>
          <w:u w:val="single"/>
        </w:rPr>
        <w:t xml:space="preserve">                  </w:t>
      </w:r>
      <w:r>
        <w:rPr>
          <w:rFonts w:ascii="微软雅黑" w:hAnsi="微软雅黑" w:cs="微软雅黑"/>
          <w:szCs w:val="21"/>
        </w:rPr>
      </w:r>
      <w:r/>
    </w:p>
    <w:p>
      <w:pPr>
        <w:pStyle w:val="1047"/>
        <w:spacing w:line="420" w:lineRule="exact"/>
        <w:rPr>
          <w:rFonts w:ascii="微软雅黑" w:hAnsi="微软雅黑" w:cs="微软雅黑"/>
        </w:rPr>
      </w:pPr>
      <w:r>
        <w:rPr>
          <w:rFonts w:hint="eastAsia" w:ascii="微软雅黑" w:hAnsi="微软雅黑" w:cs="微软雅黑"/>
          <w:sz w:val="21"/>
          <w:szCs w:val="21"/>
        </w:rPr>
        <w:t xml:space="preserve">               </w:t>
      </w:r>
      <w:r>
        <w:rPr>
          <w:rFonts w:hint="eastAsia" w:ascii="微软雅黑" w:hAnsi="微软雅黑" w:cs="微软雅黑"/>
          <w:sz w:val="21"/>
          <w:szCs w:val="22"/>
        </w:rPr>
        <w:t xml:space="preserve"> </w:t>
      </w:r>
      <w:bookmarkStart w:id="290" w:name="_Toc31866"/>
      <w:r/>
      <w:bookmarkStart w:id="291" w:name="_Toc30388"/>
      <w:r>
        <w:rPr>
          <w:rFonts w:hint="eastAsia" w:ascii="微软雅黑" w:hAnsi="微软雅黑" w:cs="微软雅黑"/>
          <w:sz w:val="21"/>
          <w:szCs w:val="22"/>
        </w:rPr>
        <w:t xml:space="preserve">日       期：年   月   日</w:t>
      </w:r>
      <w:r>
        <w:rPr>
          <w:rFonts w:hint="eastAsia" w:ascii="微软雅黑" w:hAnsi="微软雅黑" w:cs="微软雅黑"/>
          <w:sz w:val="21"/>
          <w:szCs w:val="22"/>
        </w:rPr>
        <w:br w:type="page" w:clear="all"/>
      </w:r>
      <w:r>
        <w:rPr>
          <w:rFonts w:hint="eastAsia" w:ascii="微软雅黑" w:hAnsi="微软雅黑" w:cs="微软雅黑"/>
          <w:b/>
          <w:sz w:val="24"/>
          <w:szCs w:val="24"/>
        </w:rPr>
        <w:t xml:space="preserve">3.开标一览表</w:t>
      </w:r>
      <w:bookmarkEnd w:id="290"/>
      <w:r/>
      <w:bookmarkEnd w:id="291"/>
      <w:r>
        <w:rPr>
          <w:rFonts w:ascii="微软雅黑" w:hAnsi="微软雅黑" w:cs="微软雅黑"/>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投标人名称：</w:t>
      </w:r>
      <w:r>
        <w:rPr>
          <w:rFonts w:ascii="微软雅黑" w:hAnsi="微软雅黑" w:cs="微软雅黑"/>
          <w:szCs w:val="21"/>
          <w:lang w:val="sq-AL"/>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采购文件编号：                        金额单位：人民币元</w:t>
      </w:r>
      <w:r>
        <w:rPr>
          <w:rFonts w:ascii="微软雅黑" w:hAnsi="微软雅黑" w:cs="微软雅黑"/>
          <w:szCs w:val="21"/>
          <w:lang w:val="sq-AL"/>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51"/>
        <w:gridCol w:w="6120"/>
      </w:tblGrid>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序号</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单位名称</w:t>
            </w:r>
            <w:r>
              <w:rPr>
                <w:rFonts w:ascii="微软雅黑" w:hAnsi="微软雅黑" w:cs="微软雅黑"/>
                <w:szCs w:val="21"/>
                <w:lang w:val="sq-AL"/>
              </w:rPr>
            </w:r>
            <w:r/>
          </w:p>
        </w:tc>
        <w:tc>
          <w:tcPr>
            <w:tcW w:w="6120"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（建设单位名称）</w:t>
            </w:r>
            <w:r>
              <w:rPr>
                <w:rFonts w:ascii="微软雅黑" w:hAnsi="微软雅黑" w:cs="微软雅黑"/>
                <w:szCs w:val="21"/>
                <w:lang w:val="sq-AL"/>
              </w:rPr>
            </w:r>
            <w:r/>
          </w:p>
        </w:tc>
      </w:tr>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1</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工程名称</w:t>
            </w:r>
            <w:r>
              <w:rPr>
                <w:rFonts w:ascii="微软雅黑" w:hAnsi="微软雅黑" w:cs="微软雅黑"/>
                <w:szCs w:val="21"/>
                <w:lang w:val="sq-AL"/>
              </w:rPr>
            </w:r>
            <w:r/>
          </w:p>
        </w:tc>
        <w:tc>
          <w:tcPr>
            <w:tcW w:w="6120"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rPr>
              <w:t xml:space="preserve">（项目名称及标段名称）</w:t>
            </w:r>
            <w:r>
              <w:rPr>
                <w:rFonts w:ascii="微软雅黑" w:hAnsi="微软雅黑" w:cs="微软雅黑"/>
                <w:szCs w:val="21"/>
                <w:lang w:val="sq-AL"/>
              </w:rPr>
            </w:r>
            <w:r/>
          </w:p>
        </w:tc>
      </w:tr>
      <w:tr>
        <w:trPr>
          <w:cantSplit/>
          <w:trHeight w:val="1109"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ascii="微软雅黑" w:hAnsi="微软雅黑" w:cs="微软雅黑"/>
                <w:szCs w:val="21"/>
                <w:lang w:val="sq-AL"/>
              </w:rPr>
            </w:r>
            <w:r/>
          </w:p>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2</w:t>
            </w:r>
            <w:r>
              <w:rPr>
                <w:rFonts w:ascii="微软雅黑" w:hAnsi="微软雅黑" w:cs="微软雅黑"/>
                <w:szCs w:val="21"/>
                <w:lang w:val="sq-AL"/>
              </w:rPr>
            </w:r>
            <w:r/>
          </w:p>
          <w:p>
            <w:pPr>
              <w:pStyle w:val="1044"/>
              <w:jc w:val="center"/>
              <w:spacing w:line="540" w:lineRule="exact"/>
              <w:rPr>
                <w:rFonts w:ascii="微软雅黑" w:hAnsi="微软雅黑" w:cs="微软雅黑"/>
                <w:szCs w:val="21"/>
                <w:lang w:val="sq-AL"/>
              </w:rPr>
            </w:pP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投标总报价（元）</w:t>
            </w:r>
            <w:r>
              <w:rPr>
                <w:rFonts w:ascii="微软雅黑" w:hAnsi="微软雅黑" w:cs="微软雅黑"/>
                <w:szCs w:val="21"/>
                <w:lang w:val="sq-AL"/>
              </w:rPr>
            </w:r>
            <w:r/>
          </w:p>
        </w:tc>
        <w:tc>
          <w:tcPr>
            <w:tcW w:w="6120" w:type="dxa"/>
            <w:vAlign w:val="center"/>
            <w:textDirection w:val="lrTb"/>
            <w:noWrap w:val="false"/>
          </w:tcPr>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（大写）：</w:t>
            </w:r>
            <w:r>
              <w:rPr>
                <w:rFonts w:ascii="微软雅黑" w:hAnsi="微软雅黑" w:cs="微软雅黑"/>
                <w:szCs w:val="21"/>
                <w:lang w:val="sq-AL"/>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（小写）：¥</w:t>
            </w:r>
            <w:r>
              <w:rPr>
                <w:rFonts w:ascii="微软雅黑" w:hAnsi="微软雅黑" w:cs="微软雅黑"/>
                <w:szCs w:val="21"/>
                <w:lang w:val="sq-AL"/>
              </w:rPr>
            </w:r>
            <w:r/>
          </w:p>
          <w:p>
            <w:pPr>
              <w:pStyle w:val="1044"/>
              <w:ind w:firstLine="1155"/>
              <w:spacing w:line="540" w:lineRule="exact"/>
              <w:rPr>
                <w:rFonts w:ascii="微软雅黑" w:hAnsi="微软雅黑" w:cs="微软雅黑"/>
                <w:szCs w:val="21"/>
                <w:lang w:val="sq-AL"/>
              </w:rPr>
            </w:pPr>
            <w:r>
              <w:rPr>
                <w:rFonts w:hint="eastAsia" w:ascii="微软雅黑" w:hAnsi="微软雅黑" w:cs="微软雅黑"/>
                <w:szCs w:val="21"/>
                <w:lang w:val="sq-AL"/>
              </w:rPr>
              <w:t xml:space="preserve">（大写）</w:t>
            </w:r>
            <w:r>
              <w:rPr>
                <w:rFonts w:ascii="微软雅黑" w:hAnsi="微软雅黑" w:cs="微软雅黑"/>
                <w:szCs w:val="21"/>
                <w:lang w:val="sq-AL"/>
              </w:rPr>
            </w:r>
            <w:r/>
          </w:p>
        </w:tc>
      </w:tr>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4</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工期（日历天）</w:t>
            </w:r>
            <w:r>
              <w:rPr>
                <w:rFonts w:ascii="微软雅黑" w:hAnsi="微软雅黑" w:cs="微软雅黑"/>
                <w:szCs w:val="21"/>
                <w:lang w:val="sq-AL"/>
              </w:rPr>
            </w:r>
            <w:r/>
          </w:p>
        </w:tc>
        <w:tc>
          <w:tcPr>
            <w:tcW w:w="6120" w:type="dxa"/>
            <w:vAlign w:val="center"/>
            <w:textDirection w:val="lrTb"/>
            <w:noWrap w:val="false"/>
          </w:tcPr>
          <w:p>
            <w:pPr>
              <w:pStyle w:val="1044"/>
              <w:jc w:val="center"/>
              <w:spacing w:line="540" w:lineRule="exact"/>
              <w:rPr>
                <w:rFonts w:ascii="微软雅黑" w:hAnsi="微软雅黑" w:cs="微软雅黑"/>
                <w:szCs w:val="21"/>
                <w:lang w:val="sq-AL"/>
              </w:rPr>
            </w:pPr>
            <w:r>
              <w:rPr>
                <w:rFonts w:ascii="微软雅黑" w:hAnsi="微软雅黑" w:cs="微软雅黑"/>
                <w:szCs w:val="21"/>
                <w:lang w:val="sq-AL"/>
              </w:rPr>
            </w:r>
            <w:r/>
          </w:p>
        </w:tc>
      </w:tr>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5</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免费</w:t>
            </w:r>
            <w:r>
              <w:rPr>
                <w:rFonts w:hint="eastAsia" w:ascii="微软雅黑" w:hAnsi="微软雅黑" w:cs="微软雅黑"/>
                <w:szCs w:val="21"/>
              </w:rPr>
              <w:t xml:space="preserve">保修</w:t>
            </w:r>
            <w:r>
              <w:rPr>
                <w:rFonts w:hint="eastAsia" w:ascii="微软雅黑" w:hAnsi="微软雅黑" w:cs="微软雅黑"/>
                <w:szCs w:val="21"/>
                <w:lang w:val="sq-AL"/>
              </w:rPr>
              <w:t xml:space="preserve">期</w:t>
            </w:r>
            <w:r>
              <w:rPr>
                <w:rFonts w:ascii="微软雅黑" w:hAnsi="微软雅黑" w:cs="微软雅黑"/>
                <w:szCs w:val="21"/>
                <w:lang w:val="sq-AL"/>
              </w:rPr>
            </w:r>
            <w:r/>
          </w:p>
        </w:tc>
        <w:tc>
          <w:tcPr>
            <w:tcW w:w="6120" w:type="dxa"/>
            <w:vAlign w:val="center"/>
            <w:textDirection w:val="lrTb"/>
            <w:noWrap w:val="false"/>
          </w:tcPr>
          <w:p>
            <w:pPr>
              <w:pStyle w:val="1044"/>
              <w:ind w:right="-1940"/>
              <w:spacing w:line="540" w:lineRule="exact"/>
              <w:rPr>
                <w:rFonts w:ascii="微软雅黑" w:hAnsi="微软雅黑" w:cs="微软雅黑"/>
                <w:szCs w:val="21"/>
                <w:lang w:val="sq-AL"/>
              </w:rPr>
            </w:pPr>
            <w:r>
              <w:rPr>
                <w:rFonts w:ascii="微软雅黑" w:hAnsi="微软雅黑" w:cs="微软雅黑"/>
                <w:szCs w:val="21"/>
                <w:lang w:val="sq-AL"/>
              </w:rPr>
            </w:r>
            <w:r/>
          </w:p>
        </w:tc>
      </w:tr>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6</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hint="eastAsia" w:ascii="微软雅黑" w:hAnsi="微软雅黑" w:cs="微软雅黑"/>
                <w:szCs w:val="21"/>
              </w:rPr>
            </w:pPr>
            <w:r>
              <w:rPr>
                <w:rFonts w:hint="eastAsia" w:ascii="微软雅黑" w:hAnsi="微软雅黑" w:cs="微软雅黑"/>
                <w:szCs w:val="21"/>
                <w:lang w:val="sq-AL"/>
              </w:rPr>
              <w:t xml:space="preserve">质量</w:t>
            </w:r>
            <w:r>
              <w:rPr>
                <w:rFonts w:hint="eastAsia" w:ascii="微软雅黑" w:hAnsi="微软雅黑" w:cs="微软雅黑"/>
                <w:szCs w:val="21"/>
              </w:rPr>
              <w:t xml:space="preserve">标准</w:t>
            </w:r>
            <w:r>
              <w:rPr>
                <w:rFonts w:hint="eastAsia" w:ascii="微软雅黑" w:hAnsi="微软雅黑" w:cs="微软雅黑"/>
                <w:szCs w:val="21"/>
              </w:rPr>
            </w:r>
            <w:r/>
          </w:p>
        </w:tc>
        <w:tc>
          <w:tcPr>
            <w:tcW w:w="6120" w:type="dxa"/>
            <w:vAlign w:val="center"/>
            <w:textDirection w:val="lrTb"/>
            <w:noWrap w:val="false"/>
          </w:tcPr>
          <w:p>
            <w:pPr>
              <w:pStyle w:val="1044"/>
              <w:jc w:val="center"/>
              <w:spacing w:line="540" w:lineRule="exact"/>
              <w:rPr>
                <w:rFonts w:ascii="微软雅黑" w:hAnsi="微软雅黑" w:cs="微软雅黑"/>
                <w:szCs w:val="21"/>
                <w:lang w:val="sq-AL"/>
              </w:rPr>
            </w:pPr>
            <w:r>
              <w:rPr>
                <w:rFonts w:ascii="微软雅黑" w:hAnsi="微软雅黑" w:cs="微软雅黑"/>
                <w:szCs w:val="21"/>
                <w:lang w:val="sq-AL"/>
              </w:rPr>
            </w:r>
            <w:r/>
          </w:p>
        </w:tc>
      </w:tr>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rPr>
              <w:t xml:space="preserve">7</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项目负责人姓名</w:t>
            </w:r>
            <w:r>
              <w:rPr>
                <w:rFonts w:ascii="微软雅黑" w:hAnsi="微软雅黑" w:cs="微软雅黑"/>
                <w:szCs w:val="21"/>
                <w:lang w:val="sq-AL"/>
              </w:rPr>
            </w:r>
            <w:r/>
          </w:p>
        </w:tc>
        <w:tc>
          <w:tcPr>
            <w:tcW w:w="6120" w:type="dxa"/>
            <w:vAlign w:val="center"/>
            <w:textDirection w:val="lrTb"/>
            <w:noWrap w:val="false"/>
          </w:tcPr>
          <w:p>
            <w:pPr>
              <w:pStyle w:val="1044"/>
              <w:jc w:val="center"/>
              <w:spacing w:line="540" w:lineRule="exact"/>
              <w:rPr>
                <w:rFonts w:ascii="微软雅黑" w:hAnsi="微软雅黑" w:cs="微软雅黑"/>
                <w:szCs w:val="21"/>
                <w:lang w:val="sq-AL"/>
              </w:rPr>
            </w:pPr>
            <w:r>
              <w:rPr>
                <w:rFonts w:ascii="微软雅黑" w:hAnsi="微软雅黑" w:cs="微软雅黑"/>
                <w:szCs w:val="21"/>
                <w:lang w:val="sq-AL"/>
              </w:rPr>
            </w:r>
            <w:r/>
          </w:p>
        </w:tc>
      </w:tr>
      <w:tr>
        <w:trPr>
          <w:cantSplit/>
          <w:trHeight w:val="567" w:hRule="exact"/>
        </w:trPr>
        <w:tc>
          <w:tcPr>
            <w:tcW w:w="709"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rPr>
              <w:t xml:space="preserve">8</w:t>
            </w:r>
            <w:r>
              <w:rPr>
                <w:rFonts w:ascii="微软雅黑" w:hAnsi="微软雅黑" w:cs="微软雅黑"/>
                <w:szCs w:val="21"/>
                <w:lang w:val="sq-AL"/>
              </w:rPr>
            </w:r>
            <w:r/>
          </w:p>
        </w:tc>
        <w:tc>
          <w:tcPr>
            <w:tcW w:w="2351" w:type="dxa"/>
            <w:vAlign w:val="center"/>
            <w:textDirection w:val="lrTb"/>
            <w:noWrap w:val="false"/>
          </w:tcPr>
          <w:p>
            <w:pPr>
              <w:pStyle w:val="1044"/>
              <w:jc w:val="center"/>
              <w:spacing w:line="540" w:lineRule="exact"/>
              <w:rPr>
                <w:rFonts w:ascii="微软雅黑" w:hAnsi="微软雅黑" w:cs="微软雅黑"/>
                <w:szCs w:val="21"/>
                <w:lang w:val="sq-AL"/>
              </w:rPr>
            </w:pPr>
            <w:r>
              <w:rPr>
                <w:rFonts w:hint="eastAsia" w:ascii="微软雅黑" w:hAnsi="微软雅黑" w:cs="微软雅黑"/>
                <w:szCs w:val="21"/>
                <w:lang w:val="sq-AL"/>
              </w:rPr>
              <w:t xml:space="preserve">项目负责人资质等级</w:t>
            </w:r>
            <w:r>
              <w:rPr>
                <w:rFonts w:ascii="微软雅黑" w:hAnsi="微软雅黑" w:cs="微软雅黑"/>
                <w:szCs w:val="21"/>
                <w:lang w:val="sq-AL"/>
              </w:rPr>
            </w:r>
            <w:r/>
          </w:p>
        </w:tc>
        <w:tc>
          <w:tcPr>
            <w:tcW w:w="6120" w:type="dxa"/>
            <w:vAlign w:val="center"/>
            <w:textDirection w:val="lrTb"/>
            <w:noWrap w:val="false"/>
          </w:tcPr>
          <w:p>
            <w:pPr>
              <w:pStyle w:val="1044"/>
              <w:jc w:val="center"/>
              <w:spacing w:line="540" w:lineRule="exact"/>
              <w:rPr>
                <w:rFonts w:ascii="微软雅黑" w:hAnsi="微软雅黑" w:cs="微软雅黑"/>
                <w:szCs w:val="21"/>
                <w:lang w:val="sq-AL"/>
              </w:rPr>
            </w:pPr>
            <w:r>
              <w:rPr>
                <w:rFonts w:ascii="微软雅黑" w:hAnsi="微软雅黑" w:cs="微软雅黑"/>
                <w:szCs w:val="21"/>
                <w:lang w:val="sq-AL"/>
              </w:rPr>
            </w:r>
            <w:r/>
          </w:p>
        </w:tc>
      </w:tr>
    </w:tbl>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44"/>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44"/>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rPr>
          <w:rFonts w:ascii="微软雅黑" w:hAnsi="微软雅黑" w:cs="微软雅黑"/>
          <w:sz w:val="18"/>
          <w:szCs w:val="18"/>
        </w:rPr>
      </w:r>
      <w:r/>
    </w:p>
    <w:p>
      <w:pPr>
        <w:pStyle w:val="1044"/>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ascii="微软雅黑" w:hAnsi="微软雅黑" w:cs="微软雅黑"/>
          <w:sz w:val="18"/>
          <w:szCs w:val="18"/>
        </w:rPr>
      </w:r>
      <w:r/>
    </w:p>
    <w:p>
      <w:pPr>
        <w:pStyle w:val="1044"/>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（2）投标人不得实质性改动报价一览表格式及内容。</w:t>
      </w:r>
      <w:r>
        <w:rPr>
          <w:rFonts w:ascii="微软雅黑" w:hAnsi="微软雅黑" w:cs="微软雅黑"/>
          <w:sz w:val="18"/>
          <w:szCs w:val="18"/>
        </w:rPr>
      </w:r>
      <w:r/>
    </w:p>
    <w:p>
      <w:pPr>
        <w:pStyle w:val="1070"/>
        <w:ind w:left="0" w:firstLine="360"/>
        <w:spacing w:line="360" w:lineRule="exact"/>
        <w:rPr>
          <w:b/>
          <w:bCs/>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r>
        <w:rPr>
          <w:b/>
          <w:bCs/>
        </w:rPr>
      </w:r>
      <w:r/>
    </w:p>
    <w:p>
      <w:pPr>
        <w:pStyle w:val="1070"/>
        <w:ind w:left="1260"/>
      </w:pPr>
      <w:r/>
      <w:r/>
    </w:p>
    <w:p>
      <w:pPr>
        <w:pStyle w:val="1044"/>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44"/>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44"/>
        <w:spacing w:line="420" w:lineRule="exact"/>
        <w:rPr>
          <w:rFonts w:ascii="微软雅黑" w:hAnsi="微软雅黑" w:cs="微软雅黑"/>
          <w:sz w:val="18"/>
          <w:szCs w:val="18"/>
        </w:rPr>
      </w:pPr>
      <w:r>
        <w:rPr>
          <w:rFonts w:ascii="微软雅黑" w:hAnsi="微软雅黑" w:cs="微软雅黑"/>
          <w:sz w:val="18"/>
          <w:szCs w:val="18"/>
        </w:rPr>
      </w:r>
      <w:r/>
    </w:p>
    <w:p>
      <w:pPr>
        <w:pStyle w:val="1070"/>
        <w:ind w:left="1260"/>
        <w:rPr>
          <w:rFonts w:ascii="微软雅黑" w:hAnsi="微软雅黑" w:cs="微软雅黑"/>
          <w:sz w:val="18"/>
          <w:szCs w:val="18"/>
        </w:rPr>
      </w:pPr>
      <w:r>
        <w:rPr>
          <w:rFonts w:ascii="微软雅黑" w:hAnsi="微软雅黑" w:cs="微软雅黑"/>
          <w:sz w:val="18"/>
          <w:szCs w:val="18"/>
        </w:rPr>
      </w:r>
      <w:r/>
    </w:p>
    <w:p>
      <w:pPr>
        <w:pStyle w:val="1044"/>
        <w:rPr>
          <w:rFonts w:ascii="微软雅黑" w:hAnsi="微软雅黑" w:cs="微软雅黑"/>
          <w:sz w:val="18"/>
          <w:szCs w:val="18"/>
        </w:rPr>
      </w:pPr>
      <w:r>
        <w:rPr>
          <w:rFonts w:ascii="微软雅黑" w:hAnsi="微软雅黑" w:cs="微软雅黑"/>
          <w:sz w:val="18"/>
          <w:szCs w:val="18"/>
        </w:rPr>
      </w:r>
      <w:r/>
    </w:p>
    <w:p>
      <w:pPr>
        <w:pStyle w:val="1070"/>
        <w:ind w:left="1260"/>
        <w:rPr>
          <w:rFonts w:ascii="微软雅黑" w:hAnsi="微软雅黑" w:cs="微软雅黑"/>
          <w:sz w:val="18"/>
          <w:szCs w:val="18"/>
        </w:rPr>
      </w:pPr>
      <w:r>
        <w:rPr>
          <w:rFonts w:ascii="微软雅黑" w:hAnsi="微软雅黑" w:cs="微软雅黑"/>
          <w:sz w:val="18"/>
          <w:szCs w:val="18"/>
        </w:rPr>
      </w:r>
      <w:r/>
    </w:p>
    <w:p>
      <w:pPr>
        <w:pStyle w:val="1225"/>
        <w:jc w:val="center"/>
        <w:spacing w:line="440" w:lineRule="exact"/>
        <w:rPr>
          <w:rFonts w:hint="eastAsia" w:ascii="微软雅黑" w:hAnsi="微软雅黑" w:cs="微软雅黑"/>
          <w:sz w:val="24"/>
          <w:szCs w:val="24"/>
        </w:rPr>
      </w:pPr>
      <w:r/>
      <w:bookmarkStart w:id="292" w:name="_Toc365968480"/>
      <w:r>
        <w:rPr>
          <w:rFonts w:hint="eastAsia" w:ascii="微软雅黑" w:hAnsi="微软雅黑" w:cs="微软雅黑"/>
          <w:sz w:val="24"/>
          <w:szCs w:val="24"/>
        </w:rPr>
        <w:t xml:space="preserve">4、工程量清单报价表</w:t>
      </w:r>
      <w:r>
        <w:rPr>
          <w:rFonts w:hint="eastAsia" w:ascii="微软雅黑" w:hAnsi="微软雅黑" w:cs="微软雅黑"/>
          <w:sz w:val="24"/>
          <w:szCs w:val="24"/>
        </w:rPr>
      </w:r>
      <w:r/>
    </w:p>
    <w:p>
      <w:pPr>
        <w:pStyle w:val="1044"/>
      </w:pPr>
      <w:r/>
      <w:r/>
    </w:p>
    <w:p>
      <w:pPr>
        <w:pStyle w:val="1047"/>
        <w:ind w:left="425" w:hanging="205"/>
        <w:rPr>
          <w:rFonts w:hint="eastAsia" w:ascii="微软雅黑" w:hAnsi="微软雅黑" w:cs="微软雅黑"/>
          <w:b/>
          <w:sz w:val="24"/>
          <w:szCs w:val="24"/>
        </w:rPr>
      </w:pPr>
      <w:r/>
      <w:bookmarkEnd w:id="292"/>
      <w:r/>
      <w:bookmarkStart w:id="293" w:name="_Toc14490"/>
      <w:r/>
      <w:bookmarkStart w:id="294" w:name="_Toc3562"/>
      <w:r/>
      <w:bookmarkStart w:id="295" w:name="_Toc26393"/>
      <w:r>
        <w:rPr>
          <w:rFonts w:hint="eastAsia" w:ascii="微软雅黑" w:hAnsi="微软雅黑" w:cs="微软雅黑"/>
          <w:szCs w:val="28"/>
        </w:rPr>
        <w:br w:type="page" w:clear="all"/>
      </w:r>
      <w:r>
        <w:rPr>
          <w:rFonts w:hint="eastAsia" w:ascii="微软雅黑" w:hAnsi="微软雅黑" w:cs="微软雅黑"/>
          <w:szCs w:val="28"/>
        </w:rPr>
        <w:t xml:space="preserve">5.</w:t>
      </w:r>
      <w:r>
        <w:rPr>
          <w:rFonts w:hint="eastAsia" w:ascii="微软雅黑" w:hAnsi="微软雅黑" w:cs="微软雅黑"/>
          <w:b/>
          <w:sz w:val="24"/>
          <w:szCs w:val="24"/>
        </w:rPr>
        <w:t xml:space="preserve">技术偏离表</w:t>
      </w:r>
      <w:r>
        <w:rPr>
          <w:rFonts w:hint="eastAsia" w:ascii="微软雅黑" w:hAnsi="微软雅黑" w:cs="微软雅黑"/>
          <w:b/>
          <w:sz w:val="24"/>
          <w:szCs w:val="24"/>
        </w:rPr>
      </w:r>
      <w:r/>
    </w:p>
    <w:p>
      <w:pPr>
        <w:pStyle w:val="1044"/>
        <w:ind w:left="220"/>
        <w:rPr>
          <w:rFonts w:hint="eastAsia"/>
        </w:rPr>
      </w:pPr>
      <w:r>
        <w:rPr>
          <w:rFonts w:hint="eastAsia"/>
        </w:rPr>
      </w:r>
      <w:r/>
    </w:p>
    <w:tbl>
      <w:tblPr>
        <w:tblW w:w="84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011"/>
        <w:gridCol w:w="2009"/>
        <w:gridCol w:w="1714"/>
        <w:gridCol w:w="1714"/>
      </w:tblGrid>
      <w:tr>
        <w:trPr>
          <w:trHeight w:val="1227"/>
          <w:tblHeader/>
        </w:trPr>
        <w:tc>
          <w:tcPr>
            <w:tcW w:w="103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序号</w:t>
            </w:r>
            <w:r>
              <w:rPr>
                <w:rFonts w:hint="eastAsia" w:ascii="微软雅黑" w:hAnsi="微软雅黑" w:cs="微软雅黑"/>
              </w:rPr>
            </w:r>
            <w:r/>
          </w:p>
        </w:tc>
        <w:tc>
          <w:tcPr>
            <w:tcW w:w="201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原技术规范主要条款描述</w:t>
            </w:r>
            <w:r>
              <w:rPr>
                <w:rFonts w:hint="eastAsia" w:ascii="微软雅黑" w:hAnsi="微软雅黑" w:cs="微软雅黑"/>
              </w:rPr>
            </w:r>
            <w:r/>
          </w:p>
        </w:tc>
        <w:tc>
          <w:tcPr>
            <w:tcW w:w="2009"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投标供应商技术规范描述</w:t>
            </w: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偏离情况（+/-/=）</w:t>
            </w: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证明材料所在页</w:t>
            </w:r>
            <w:r>
              <w:rPr>
                <w:rFonts w:hint="eastAsia" w:ascii="微软雅黑" w:hAnsi="微软雅黑" w:cs="微软雅黑"/>
              </w:rPr>
            </w:r>
            <w:r/>
          </w:p>
        </w:tc>
      </w:tr>
      <w:tr>
        <w:trPr>
          <w:trHeight w:val="618"/>
          <w:tblHeader/>
        </w:trPr>
        <w:tc>
          <w:tcPr>
            <w:tcW w:w="103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01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009"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r>
      <w:tr>
        <w:trPr>
          <w:trHeight w:val="618"/>
          <w:tblHeader/>
        </w:trPr>
        <w:tc>
          <w:tcPr>
            <w:tcW w:w="103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01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009"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r>
      <w:tr>
        <w:trPr>
          <w:trHeight w:val="628"/>
          <w:tblHeader/>
        </w:trPr>
        <w:tc>
          <w:tcPr>
            <w:tcW w:w="103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011"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009"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1714" w:type="dxa"/>
            <w:vAlign w:val="top"/>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r>
    </w:tbl>
    <w:p>
      <w:pPr>
        <w:pStyle w:val="1044"/>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44"/>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70"/>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44"/>
        <w:ind w:firstLine="140"/>
        <w:spacing w:line="420" w:lineRule="exact"/>
        <w:rPr>
          <w:rFonts w:hint="eastAsia" w:ascii="微软雅黑" w:hAnsi="微软雅黑" w:cs="微软雅黑"/>
          <w:sz w:val="28"/>
        </w:rPr>
      </w:pPr>
      <w:r>
        <w:rPr>
          <w:rFonts w:hint="eastAsia" w:ascii="微软雅黑" w:hAnsi="微软雅黑" w:cs="微软雅黑"/>
          <w:sz w:val="28"/>
        </w:rPr>
      </w:r>
      <w:r/>
    </w:p>
    <w:p>
      <w:pPr>
        <w:pStyle w:val="1044"/>
        <w:ind w:firstLine="9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r>
      <w:r/>
    </w:p>
    <w:p>
      <w:pPr>
        <w:pStyle w:val="1044"/>
        <w:numPr>
          <w:ilvl w:val="3"/>
          <w:numId w:val="0"/>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1.此表为表样，行数可自行添加，但表式不变。</w:t>
      </w:r>
      <w:r>
        <w:rPr>
          <w:rFonts w:hint="eastAsia" w:ascii="微软雅黑" w:hAnsi="微软雅黑" w:cs="微软雅黑"/>
          <w:sz w:val="18"/>
          <w:szCs w:val="18"/>
        </w:rPr>
      </w:r>
      <w:r/>
    </w:p>
    <w:p>
      <w:pPr>
        <w:pStyle w:val="1044"/>
        <w:numPr>
          <w:ilvl w:val="3"/>
          <w:numId w:val="0"/>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2.投标单位根据系统方案添加的设备、材料等也请列出。</w:t>
      </w:r>
      <w:r>
        <w:rPr>
          <w:rFonts w:hint="eastAsia" w:ascii="微软雅黑" w:hAnsi="微软雅黑" w:cs="微软雅黑"/>
          <w:sz w:val="18"/>
          <w:szCs w:val="18"/>
        </w:rPr>
      </w:r>
      <w:r/>
    </w:p>
    <w:p>
      <w:pPr>
        <w:pStyle w:val="1044"/>
        <w:numPr>
          <w:ilvl w:val="3"/>
          <w:numId w:val="0"/>
        </w:numPr>
        <w:ind w:left="426" w:hanging="42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3.是否偏离用符号“+、=、-”分别表示正偏离、完全响应、负偏离。</w:t>
      </w:r>
      <w:r>
        <w:rPr>
          <w:rFonts w:hint="eastAsia" w:ascii="微软雅黑" w:hAnsi="微软雅黑" w:cs="微软雅黑"/>
          <w:sz w:val="18"/>
          <w:szCs w:val="18"/>
        </w:rPr>
      </w:r>
      <w:r/>
    </w:p>
    <w:p>
      <w:pPr>
        <w:pStyle w:val="1044"/>
        <w:numPr>
          <w:ilvl w:val="3"/>
          <w:numId w:val="0"/>
        </w:numPr>
        <w:ind w:left="0" w:firstLine="0"/>
        <w:keepLines w:val="0"/>
        <w:keepNext w:val="0"/>
        <w:pageBreakBefore w:val="0"/>
        <w:spacing w:line="420" w:lineRule="exact"/>
        <w:widowControl w:val="off"/>
        <w:rPr>
          <w:rFonts w:hint="eastAsia" w:ascii="微软雅黑" w:hAnsi="微软雅黑" w:cs="微软雅黑"/>
          <w:sz w:val="18"/>
          <w:szCs w:val="18"/>
        </w:rPr>
      </w:pPr>
      <w:r>
        <w:rPr>
          <w:rFonts w:hint="eastAsia" w:ascii="微软雅黑" w:hAnsi="微软雅黑" w:cs="微软雅黑"/>
          <w:sz w:val="18"/>
          <w:szCs w:val="18"/>
        </w:rPr>
        <w:t xml:space="preserve">4.投标单位必须仔细阅读本采购文件“第四章”中所有技术规范条款和相关功能要求，并对技术参数和功能逐条列入上表，未列入上表的视为不响应采购文件要求。投标单位必须根据所投货物、工程或服务的实际情况如实填写，评委会如发现有虚假描述的，该投标文件视为无效。</w:t>
      </w:r>
      <w:r>
        <w:rPr>
          <w:rFonts w:hint="eastAsia" w:ascii="微软雅黑" w:hAnsi="微软雅黑" w:cs="微软雅黑"/>
          <w:sz w:val="18"/>
          <w:szCs w:val="18"/>
        </w:rPr>
      </w:r>
      <w:r/>
    </w:p>
    <w:p>
      <w:pPr>
        <w:pStyle w:val="1044"/>
        <w:numPr>
          <w:ilvl w:val="3"/>
          <w:numId w:val="0"/>
        </w:numPr>
        <w:ind w:left="0" w:firstLine="0"/>
        <w:jc w:val="both"/>
        <w:keepLines w:val="0"/>
        <w:keepNext w:val="0"/>
        <w:pageBreakBefore w:val="0"/>
        <w:spacing w:line="420" w:lineRule="exact"/>
        <w:widowControl w:val="off"/>
        <w:rPr>
          <w:rFonts w:hint="eastAsia" w:ascii="微软雅黑" w:hAnsi="微软雅黑" w:cs="微软雅黑"/>
          <w:sz w:val="18"/>
          <w:szCs w:val="18"/>
        </w:rPr>
      </w:pPr>
      <w:r>
        <w:rPr>
          <w:rFonts w:hint="eastAsia" w:ascii="微软雅黑" w:hAnsi="微软雅黑" w:cs="微软雅黑"/>
          <w:sz w:val="18"/>
          <w:szCs w:val="18"/>
        </w:rPr>
        <w:t xml:space="preserve">5.若投标文件中出现技术参数和功能与此表表述不一致的，以此表为准。</w:t>
      </w:r>
      <w:r>
        <w:rPr>
          <w:rFonts w:hint="eastAsia" w:ascii="微软雅黑" w:hAnsi="微软雅黑" w:cs="微软雅黑"/>
          <w:sz w:val="18"/>
          <w:szCs w:val="18"/>
        </w:rPr>
      </w:r>
      <w:r/>
    </w:p>
    <w:p>
      <w:pPr>
        <w:pStyle w:val="1044"/>
        <w:numPr>
          <w:ilvl w:val="3"/>
          <w:numId w:val="0"/>
        </w:numPr>
        <w:ind w:left="426" w:hanging="426"/>
        <w:jc w:val="center"/>
        <w:spacing w:line="420" w:lineRule="exact"/>
        <w:rPr>
          <w:rFonts w:hint="eastAsia" w:ascii="微软雅黑" w:hAnsi="微软雅黑" w:cs="微软雅黑"/>
          <w:b/>
          <w:bCs/>
          <w:sz w:val="24"/>
          <w:szCs w:val="24"/>
        </w:rPr>
      </w:pPr>
      <w:r>
        <w:rPr>
          <w:rFonts w:hint="eastAsia" w:ascii="微软雅黑" w:hAnsi="微软雅黑" w:cs="微软雅黑"/>
          <w:sz w:val="18"/>
          <w:szCs w:val="18"/>
        </w:rPr>
        <w:br w:type="page" w:clear="all"/>
      </w:r>
      <w:r>
        <w:rPr>
          <w:rFonts w:hint="eastAsia" w:ascii="微软雅黑" w:hAnsi="微软雅黑" w:cs="微软雅黑"/>
          <w:b/>
          <w:sz w:val="24"/>
          <w:szCs w:val="24"/>
        </w:rPr>
        <w:t xml:space="preserve">6.项目需求响应表</w:t>
      </w:r>
      <w:bookmarkEnd w:id="293"/>
      <w:r/>
      <w:bookmarkEnd w:id="294"/>
      <w:r/>
      <w:bookmarkEnd w:id="295"/>
      <w:r>
        <w:rPr>
          <w:rFonts w:hint="eastAsia" w:ascii="微软雅黑" w:hAnsi="微软雅黑" w:cs="微软雅黑"/>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W w:w="534" w:type="dxa"/>
            <w:vAlign w:val="center"/>
            <w:textDirection w:val="lrTb"/>
            <w:noWrap w:val="false"/>
          </w:tcPr>
          <w:p>
            <w:pPr>
              <w:pStyle w:val="1044"/>
              <w:jc w:val="center"/>
              <w:rPr>
                <w:rFonts w:hint="eastAsia" w:ascii="微软雅黑" w:hAnsi="微软雅黑" w:cs="微软雅黑"/>
                <w:b/>
                <w:bCs/>
              </w:rPr>
            </w:pPr>
            <w:r>
              <w:rPr>
                <w:rFonts w:hint="eastAsia" w:ascii="微软雅黑" w:hAnsi="微软雅黑" w:cs="微软雅黑"/>
                <w:b/>
                <w:bCs/>
              </w:rPr>
              <w:t xml:space="preserve">序号</w:t>
            </w:r>
            <w:r>
              <w:rPr>
                <w:rFonts w:hint="eastAsia" w:ascii="微软雅黑" w:hAnsi="微软雅黑" w:cs="微软雅黑"/>
                <w:b/>
                <w:bCs/>
              </w:rPr>
            </w:r>
            <w:r/>
          </w:p>
        </w:tc>
        <w:tc>
          <w:tcPr>
            <w:tcW w:w="2268" w:type="dxa"/>
            <w:vAlign w:val="center"/>
            <w:textDirection w:val="lrTb"/>
            <w:noWrap w:val="false"/>
          </w:tcPr>
          <w:p>
            <w:pPr>
              <w:pStyle w:val="1044"/>
              <w:jc w:val="center"/>
              <w:rPr>
                <w:rFonts w:hint="eastAsia" w:ascii="微软雅黑" w:hAnsi="微软雅黑" w:cs="微软雅黑"/>
                <w:b/>
                <w:bCs/>
              </w:rPr>
            </w:pPr>
            <w:r>
              <w:rPr>
                <w:rFonts w:hint="eastAsia" w:ascii="微软雅黑" w:hAnsi="微软雅黑" w:cs="微软雅黑"/>
                <w:b/>
                <w:bCs/>
              </w:rPr>
              <w:t xml:space="preserve">项目</w:t>
            </w:r>
            <w:r>
              <w:rPr>
                <w:rFonts w:hint="eastAsia" w:ascii="微软雅黑" w:hAnsi="微软雅黑" w:cs="微软雅黑"/>
                <w:b/>
                <w:bCs/>
              </w:rPr>
            </w:r>
            <w:r/>
          </w:p>
        </w:tc>
        <w:tc>
          <w:tcPr>
            <w:tcW w:w="2551" w:type="dxa"/>
            <w:vAlign w:val="center"/>
            <w:textDirection w:val="lrTb"/>
            <w:noWrap w:val="false"/>
          </w:tcPr>
          <w:p>
            <w:pPr>
              <w:pStyle w:val="1044"/>
              <w:jc w:val="center"/>
              <w:rPr>
                <w:rFonts w:hint="eastAsia" w:ascii="微软雅黑" w:hAnsi="微软雅黑" w:cs="微软雅黑"/>
                <w:b/>
                <w:bCs/>
              </w:rPr>
            </w:pPr>
            <w:r>
              <w:rPr>
                <w:rFonts w:hint="eastAsia" w:ascii="微软雅黑" w:hAnsi="微软雅黑" w:cs="微软雅黑"/>
                <w:b/>
                <w:bCs/>
              </w:rPr>
              <w:t xml:space="preserve">原商务主要条款描述</w:t>
            </w:r>
            <w:r>
              <w:rPr>
                <w:rFonts w:hint="eastAsia" w:ascii="微软雅黑" w:hAnsi="微软雅黑" w:cs="微软雅黑"/>
                <w:b/>
                <w:bCs/>
              </w:rPr>
            </w:r>
            <w:r/>
          </w:p>
        </w:tc>
        <w:tc>
          <w:tcPr>
            <w:tcW w:w="1985" w:type="dxa"/>
            <w:vAlign w:val="center"/>
            <w:textDirection w:val="lrTb"/>
            <w:noWrap w:val="false"/>
          </w:tcPr>
          <w:p>
            <w:pPr>
              <w:pStyle w:val="1044"/>
              <w:jc w:val="center"/>
              <w:rPr>
                <w:rFonts w:hint="eastAsia" w:ascii="微软雅黑" w:hAnsi="微软雅黑" w:cs="微软雅黑"/>
                <w:b/>
                <w:bCs/>
              </w:rPr>
            </w:pPr>
            <w:r>
              <w:rPr>
                <w:rFonts w:hint="eastAsia" w:ascii="微软雅黑" w:hAnsi="微软雅黑" w:cs="微软雅黑"/>
                <w:b/>
                <w:bCs/>
              </w:rPr>
              <w:t xml:space="preserve">投标供应商的承诺或说明</w:t>
            </w:r>
            <w:r>
              <w:rPr>
                <w:rFonts w:hint="eastAsia" w:ascii="微软雅黑" w:hAnsi="微软雅黑" w:cs="微软雅黑"/>
                <w:b/>
                <w:bCs/>
              </w:rPr>
            </w:r>
            <w:r/>
          </w:p>
        </w:tc>
        <w:tc>
          <w:tcPr>
            <w:tcW w:w="1134" w:type="dxa"/>
            <w:vAlign w:val="center"/>
            <w:textDirection w:val="lrTb"/>
            <w:noWrap w:val="false"/>
          </w:tcPr>
          <w:p>
            <w:pPr>
              <w:pStyle w:val="1044"/>
              <w:jc w:val="center"/>
              <w:rPr>
                <w:rFonts w:hint="eastAsia" w:ascii="微软雅黑" w:hAnsi="微软雅黑" w:cs="微软雅黑"/>
                <w:b/>
                <w:bCs/>
              </w:rPr>
            </w:pPr>
            <w:r>
              <w:rPr>
                <w:rFonts w:hint="eastAsia" w:ascii="微软雅黑" w:hAnsi="微软雅黑" w:cs="微软雅黑"/>
                <w:b/>
                <w:bCs/>
              </w:rPr>
              <w:t xml:space="preserve">偏离</w:t>
            </w:r>
            <w:r>
              <w:rPr>
                <w:rFonts w:hint="eastAsia" w:ascii="微软雅黑" w:hAnsi="微软雅黑" w:cs="微软雅黑"/>
                <w:b/>
                <w:bCs/>
              </w:rPr>
            </w:r>
            <w:r/>
          </w:p>
          <w:p>
            <w:pPr>
              <w:pStyle w:val="1044"/>
              <w:jc w:val="center"/>
              <w:rPr>
                <w:rFonts w:hint="eastAsia" w:ascii="微软雅黑" w:hAnsi="微软雅黑" w:cs="微软雅黑"/>
                <w:b/>
                <w:bCs/>
              </w:rPr>
            </w:pPr>
            <w:r>
              <w:rPr>
                <w:rFonts w:hint="eastAsia" w:ascii="微软雅黑" w:hAnsi="微软雅黑" w:cs="微软雅黑"/>
                <w:b/>
                <w:bCs/>
              </w:rPr>
              <w:t xml:space="preserve">情况</w:t>
            </w:r>
            <w:r>
              <w:rPr>
                <w:rFonts w:hint="eastAsia" w:ascii="微软雅黑" w:hAnsi="微软雅黑" w:cs="微软雅黑"/>
                <w:b/>
                <w:bCs/>
              </w:rPr>
            </w:r>
            <w:r/>
          </w:p>
        </w:tc>
      </w:tr>
      <w:tr>
        <w:trPr>
          <w:trHeight w:val="447"/>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268" w:type="dxa"/>
            <w:vAlign w:val="center"/>
            <w:textDirection w:val="lrTb"/>
            <w:noWrap w:val="false"/>
          </w:tcPr>
          <w:p>
            <w:pPr>
              <w:pStyle w:val="1044"/>
              <w:jc w:val="center"/>
              <w:rPr>
                <w:rFonts w:ascii="微软雅黑" w:hAnsi="微软雅黑" w:cs="微软雅黑"/>
              </w:rPr>
            </w:pPr>
            <w:r>
              <w:rPr>
                <w:rFonts w:hint="eastAsia" w:ascii="微软雅黑" w:hAnsi="微软雅黑" w:cs="微软雅黑"/>
              </w:rPr>
              <w:t xml:space="preserve">免费保修期</w:t>
            </w:r>
            <w:r>
              <w:rPr>
                <w:rFonts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r>
        <w:trPr>
          <w:trHeight w:val="512"/>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268"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付款方式</w:t>
            </w:r>
            <w:r>
              <w:rPr>
                <w:rFonts w:hint="eastAsia"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r>
        <w:trPr>
          <w:trHeight w:val="541"/>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268"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工期</w:t>
            </w:r>
            <w:r>
              <w:rPr>
                <w:rFonts w:hint="eastAsia"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r>
        <w:trPr>
          <w:trHeight w:val="441"/>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2268"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5</w:t>
            </w:r>
            <w:r>
              <w:rPr>
                <w:rFonts w:hint="eastAsia" w:ascii="微软雅黑" w:hAnsi="微软雅黑" w:cs="微软雅黑"/>
              </w:rPr>
            </w:r>
            <w:r/>
          </w:p>
        </w:tc>
        <w:tc>
          <w:tcPr>
            <w:tcW w:w="2268"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268"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t xml:space="preserve">......</w:t>
            </w:r>
            <w:r>
              <w:rPr>
                <w:rFonts w:hint="eastAsia"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268" w:type="dxa"/>
            <w:vAlign w:val="center"/>
            <w:textDirection w:val="lrTb"/>
            <w:noWrap w:val="false"/>
          </w:tcPr>
          <w:p>
            <w:pPr>
              <w:pStyle w:val="1044"/>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44"/>
              <w:rPr>
                <w:rFonts w:hint="eastAsia" w:ascii="微软雅黑" w:hAnsi="微软雅黑" w:cs="微软雅黑"/>
              </w:rPr>
            </w:pPr>
            <w:r>
              <w:rPr>
                <w:rFonts w:hint="eastAsia" w:ascii="微软雅黑" w:hAnsi="微软雅黑" w:cs="微软雅黑"/>
              </w:rPr>
            </w:r>
            <w:r/>
          </w:p>
        </w:tc>
      </w:tr>
    </w:tbl>
    <w:p>
      <w:pPr>
        <w:pStyle w:val="1044"/>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44"/>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070"/>
        <w:ind w:left="0"/>
        <w:rPr>
          <w:rFonts w:hint="eastAsia" w:ascii="微软雅黑" w:hAnsi="微软雅黑" w:cs="微软雅黑"/>
          <w:sz w:val="28"/>
          <w:szCs w:val="28"/>
        </w:rPr>
      </w:pPr>
      <w:r>
        <w:rPr>
          <w:rFonts w:hint="eastAsia" w:ascii="微软雅黑" w:hAnsi="微软雅黑" w:cs="微软雅黑"/>
        </w:rPr>
        <w:t xml:space="preserve">日期：</w:t>
      </w:r>
      <w:r>
        <w:rPr>
          <w:rFonts w:hint="eastAsia" w:ascii="微软雅黑" w:hAnsi="微软雅黑" w:cs="微软雅黑"/>
          <w:sz w:val="28"/>
          <w:szCs w:val="28"/>
        </w:rPr>
      </w:r>
      <w:r/>
    </w:p>
    <w:p>
      <w:pPr>
        <w:pStyle w:val="1044"/>
        <w:spacing w:line="44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r>
      <w:r/>
    </w:p>
    <w:p>
      <w:pPr>
        <w:pStyle w:val="1044"/>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1044"/>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投标单位根据项目添加的服务承诺、培训等也请列出。</w:t>
      </w:r>
      <w:r>
        <w:rPr>
          <w:rFonts w:hint="eastAsia" w:ascii="微软雅黑" w:hAnsi="微软雅黑" w:cs="微软雅黑"/>
          <w:sz w:val="18"/>
          <w:szCs w:val="18"/>
        </w:rPr>
      </w:r>
      <w:r/>
    </w:p>
    <w:p>
      <w:pPr>
        <w:pStyle w:val="1044"/>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1225"/>
        <w:jc w:val="left"/>
        <w:spacing w:before="0" w:after="0" w:line="440" w:lineRule="exact"/>
        <w:rPr>
          <w:rFonts w:hint="eastAsia" w:ascii="微软雅黑" w:hAnsi="微软雅黑" w:cs="微软雅黑"/>
          <w:b w:val="0"/>
          <w:bCs w:val="0"/>
          <w:sz w:val="18"/>
          <w:szCs w:val="18"/>
        </w:rPr>
      </w:pPr>
      <w:r>
        <w:rPr>
          <w:rFonts w:hint="eastAsia" w:ascii="微软雅黑" w:hAnsi="微软雅黑" w:cs="微软雅黑"/>
          <w:b w:val="0"/>
          <w:bCs w:val="0"/>
          <w:sz w:val="18"/>
          <w:szCs w:val="18"/>
        </w:rPr>
        <w:fldChar w:fldCharType="begin"/>
      </w:r>
      <w:r>
        <w:rPr>
          <w:rFonts w:hint="eastAsia" w:ascii="微软雅黑" w:hAnsi="微软雅黑" w:cs="微软雅黑"/>
          <w:b w:val="0"/>
          <w:bCs w:val="0"/>
          <w:sz w:val="18"/>
          <w:szCs w:val="18"/>
        </w:rPr>
        <w:instrText xml:space="preserve">= 4 \* GB3</w:instrText>
      </w:r>
      <w:r>
        <w:rPr>
          <w:rFonts w:hint="eastAsia" w:ascii="微软雅黑" w:hAnsi="微软雅黑" w:cs="微软雅黑"/>
          <w:b w:val="0"/>
          <w:bCs w:val="0"/>
          <w:sz w:val="18"/>
          <w:szCs w:val="18"/>
        </w:rPr>
        <w:fldChar w:fldCharType="separate"/>
      </w:r>
      <w:r>
        <w:rPr>
          <w:rFonts w:hint="eastAsia" w:ascii="微软雅黑" w:hAnsi="微软雅黑" w:cs="微软雅黑"/>
          <w:b w:val="0"/>
          <w:bCs w:val="0"/>
          <w:sz w:val="18"/>
          <w:szCs w:val="18"/>
        </w:rPr>
        <w:t xml:space="preserve">④</w:t>
      </w:r>
      <w:r>
        <w:rPr>
          <w:rFonts w:hint="eastAsia" w:ascii="微软雅黑" w:hAnsi="微软雅黑" w:cs="微软雅黑"/>
          <w:b w:val="0"/>
          <w:bCs w:val="0"/>
          <w:sz w:val="18"/>
          <w:szCs w:val="18"/>
        </w:rPr>
        <w:fldChar w:fldCharType="end"/>
      </w:r>
      <w:r>
        <w:rPr>
          <w:rFonts w:hint="eastAsia" w:ascii="微软雅黑" w:hAnsi="微软雅黑" w:cs="微软雅黑"/>
          <w:b w:val="0"/>
          <w:bCs w:val="0"/>
          <w:sz w:val="18"/>
          <w:szCs w:val="18"/>
        </w:rPr>
        <w:t xml:space="preserve">投标单位必须仔细阅读本采购文件“第四章”中所有条款和相关服务要求，并对所有条款和服务要求列入上表，未列入上表的视为不响应采购文件要求。投标单位必须根据所将提供服务的实际情况如实填写，评委会如发现有虚假描述的，该投标文件视为无效。</w:t>
      </w:r>
      <w:r>
        <w:rPr>
          <w:rFonts w:hint="eastAsia" w:ascii="微软雅黑" w:hAnsi="微软雅黑" w:cs="微软雅黑"/>
          <w:b w:val="0"/>
          <w:bCs w:val="0"/>
          <w:sz w:val="18"/>
          <w:szCs w:val="18"/>
        </w:rPr>
      </w:r>
      <w:r/>
    </w:p>
    <w:p>
      <w:pPr>
        <w:pStyle w:val="1225"/>
        <w:jc w:val="center"/>
        <w:spacing w:before="0" w:after="0" w:line="440" w:lineRule="exact"/>
        <w:rPr>
          <w:rFonts w:ascii="微软雅黑" w:hAnsi="微软雅黑" w:cs="微软雅黑"/>
          <w:b w:val="0"/>
          <w:sz w:val="28"/>
          <w:szCs w:val="28"/>
        </w:rPr>
      </w:pPr>
      <w:r>
        <w:rPr>
          <w:rFonts w:hint="eastAsia" w:ascii="微软雅黑" w:hAnsi="微软雅黑" w:cs="微软雅黑"/>
          <w:b w:val="0"/>
          <w:sz w:val="28"/>
          <w:szCs w:val="28"/>
        </w:rPr>
        <w:br w:type="page" w:clear="all"/>
      </w:r>
      <w:r>
        <w:rPr>
          <w:rFonts w:hint="eastAsia" w:ascii="微软雅黑" w:hAnsi="微软雅黑" w:cs="微软雅黑"/>
          <w:sz w:val="24"/>
          <w:szCs w:val="24"/>
        </w:rPr>
        <w:t xml:space="preserve">7、承包人供应主要材料一览表</w:t>
      </w:r>
      <w:r>
        <w:rPr>
          <w:rFonts w:ascii="微软雅黑" w:hAnsi="微软雅黑" w:cs="微软雅黑"/>
          <w:b w:val="0"/>
          <w:sz w:val="28"/>
          <w:szCs w:val="28"/>
        </w:rPr>
      </w:r>
      <w:r/>
    </w:p>
    <w:tbl>
      <w:tblPr>
        <w:tblW w:w="98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06"/>
        <w:gridCol w:w="1218"/>
        <w:gridCol w:w="1414"/>
        <w:gridCol w:w="1414"/>
        <w:gridCol w:w="814"/>
        <w:gridCol w:w="814"/>
        <w:gridCol w:w="671"/>
        <w:gridCol w:w="914"/>
        <w:gridCol w:w="904"/>
      </w:tblGrid>
      <w:tr>
        <w:trPr>
          <w:trHeight w:val="923"/>
        </w:trPr>
        <w:tc>
          <w:tcPr>
            <w:tcMar>
              <w:left w:w="108" w:type="dxa"/>
              <w:top w:w="0" w:type="dxa"/>
              <w:right w:w="108" w:type="dxa"/>
              <w:bottom w:w="0" w:type="dxa"/>
            </w:tcMar>
            <w:tcW w:w="625"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序号</w:t>
            </w:r>
            <w:r>
              <w:rPr>
                <w:rFonts w:ascii="微软雅黑" w:hAnsi="微软雅黑" w:cs="微软雅黑"/>
                <w:szCs w:val="21"/>
              </w:rPr>
            </w:r>
            <w:r/>
          </w:p>
        </w:tc>
        <w:tc>
          <w:tcPr>
            <w:tcMar>
              <w:left w:w="108" w:type="dxa"/>
              <w:top w:w="0" w:type="dxa"/>
              <w:right w:w="108" w:type="dxa"/>
              <w:bottom w:w="0" w:type="dxa"/>
            </w:tcMar>
            <w:tcW w:w="1106"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材料编码</w:t>
            </w:r>
            <w:r>
              <w:rPr>
                <w:rFonts w:ascii="微软雅黑" w:hAnsi="微软雅黑" w:cs="微软雅黑"/>
                <w:szCs w:val="21"/>
              </w:rPr>
            </w:r>
            <w:r/>
          </w:p>
        </w:tc>
        <w:tc>
          <w:tcPr>
            <w:tcMar>
              <w:left w:w="108" w:type="dxa"/>
              <w:top w:w="0" w:type="dxa"/>
              <w:right w:w="108" w:type="dxa"/>
              <w:bottom w:w="0" w:type="dxa"/>
            </w:tcMar>
            <w:tcW w:w="1218"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材料名称</w:t>
            </w:r>
            <w:r>
              <w:rPr>
                <w:rFonts w:ascii="微软雅黑" w:hAnsi="微软雅黑" w:cs="微软雅黑"/>
                <w:szCs w:val="21"/>
              </w:rPr>
            </w:r>
            <w:r/>
          </w:p>
        </w:tc>
        <w:tc>
          <w:tcPr>
            <w:tcMar>
              <w:left w:w="108" w:type="dxa"/>
              <w:top w:w="0" w:type="dxa"/>
              <w:right w:w="108" w:type="dxa"/>
              <w:bottom w:w="0" w:type="dxa"/>
            </w:tcMar>
            <w:tcW w:w="1414"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品牌</w:t>
            </w:r>
            <w:r>
              <w:rPr>
                <w:rFonts w:ascii="微软雅黑" w:hAnsi="微软雅黑" w:cs="微软雅黑"/>
                <w:szCs w:val="21"/>
              </w:rPr>
            </w:r>
            <w:r/>
          </w:p>
        </w:tc>
        <w:tc>
          <w:tcPr>
            <w:tcMar>
              <w:left w:w="108" w:type="dxa"/>
              <w:top w:w="0" w:type="dxa"/>
              <w:right w:w="108" w:type="dxa"/>
              <w:bottom w:w="0" w:type="dxa"/>
            </w:tcMar>
            <w:tcW w:w="1414"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规格、型号</w:t>
            </w:r>
            <w:r>
              <w:rPr>
                <w:rFonts w:ascii="微软雅黑" w:hAnsi="微软雅黑" w:cs="微软雅黑"/>
                <w:szCs w:val="21"/>
              </w:rPr>
            </w:r>
            <w:r/>
          </w:p>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等要求</w:t>
            </w:r>
            <w:r>
              <w:rPr>
                <w:rFonts w:ascii="微软雅黑" w:hAnsi="微软雅黑" w:cs="微软雅黑"/>
                <w:szCs w:val="21"/>
              </w:rPr>
            </w:r>
            <w:r/>
          </w:p>
        </w:tc>
        <w:tc>
          <w:tcPr>
            <w:tcMar>
              <w:left w:w="108" w:type="dxa"/>
              <w:top w:w="0" w:type="dxa"/>
              <w:right w:w="108" w:type="dxa"/>
              <w:bottom w:w="0" w:type="dxa"/>
            </w:tcMar>
            <w:tcW w:w="814"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产地</w:t>
            </w:r>
            <w:r>
              <w:rPr>
                <w:rFonts w:ascii="微软雅黑" w:hAnsi="微软雅黑" w:cs="微软雅黑"/>
                <w:szCs w:val="21"/>
              </w:rPr>
            </w:r>
            <w:r/>
          </w:p>
        </w:tc>
        <w:tc>
          <w:tcPr>
            <w:tcMar>
              <w:left w:w="108" w:type="dxa"/>
              <w:top w:w="0" w:type="dxa"/>
              <w:right w:w="108" w:type="dxa"/>
              <w:bottom w:w="0" w:type="dxa"/>
            </w:tcMar>
            <w:tcW w:w="814"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单位</w:t>
            </w:r>
            <w:r>
              <w:rPr>
                <w:rFonts w:ascii="微软雅黑" w:hAnsi="微软雅黑" w:cs="微软雅黑"/>
                <w:szCs w:val="21"/>
              </w:rPr>
            </w:r>
            <w:r/>
          </w:p>
        </w:tc>
        <w:tc>
          <w:tcPr>
            <w:tcMar>
              <w:left w:w="108" w:type="dxa"/>
              <w:top w:w="0" w:type="dxa"/>
              <w:right w:w="108" w:type="dxa"/>
              <w:bottom w:w="0" w:type="dxa"/>
            </w:tcMar>
            <w:tcW w:w="671"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数量</w:t>
            </w:r>
            <w:r>
              <w:rPr>
                <w:rFonts w:ascii="微软雅黑" w:hAnsi="微软雅黑" w:cs="微软雅黑"/>
                <w:szCs w:val="21"/>
              </w:rPr>
            </w:r>
            <w:r/>
          </w:p>
        </w:tc>
        <w:tc>
          <w:tcPr>
            <w:tcMar>
              <w:left w:w="108" w:type="dxa"/>
              <w:top w:w="0" w:type="dxa"/>
              <w:right w:w="108" w:type="dxa"/>
              <w:bottom w:w="0" w:type="dxa"/>
            </w:tcMar>
            <w:tcW w:w="914"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单价（元）</w:t>
            </w:r>
            <w:r>
              <w:rPr>
                <w:rFonts w:ascii="微软雅黑" w:hAnsi="微软雅黑" w:cs="微软雅黑"/>
                <w:szCs w:val="21"/>
              </w:rPr>
            </w:r>
            <w:r/>
          </w:p>
        </w:tc>
        <w:tc>
          <w:tcPr>
            <w:tcMar>
              <w:left w:w="108" w:type="dxa"/>
              <w:top w:w="0" w:type="dxa"/>
              <w:right w:w="108" w:type="dxa"/>
              <w:bottom w:w="0" w:type="dxa"/>
            </w:tcMar>
            <w:tcW w:w="904" w:type="dxa"/>
            <w:vAlign w:val="center"/>
            <w:textDirection w:val="lrTb"/>
            <w:noWrap w:val="false"/>
          </w:tcPr>
          <w:p>
            <w:pPr>
              <w:pStyle w:val="1044"/>
              <w:jc w:val="center"/>
              <w:spacing w:line="440" w:lineRule="exact"/>
              <w:rPr>
                <w:rFonts w:ascii="微软雅黑" w:hAnsi="微软雅黑" w:cs="微软雅黑"/>
                <w:szCs w:val="21"/>
              </w:rPr>
            </w:pPr>
            <w:r>
              <w:rPr>
                <w:rFonts w:hint="eastAsia" w:ascii="微软雅黑" w:hAnsi="微软雅黑" w:cs="微软雅黑"/>
                <w:szCs w:val="21"/>
              </w:rPr>
              <w:t xml:space="preserve">合价（元）</w:t>
            </w:r>
            <w:r>
              <w:rPr>
                <w:rFonts w:ascii="微软雅黑" w:hAnsi="微软雅黑" w:cs="微软雅黑"/>
                <w:szCs w:val="21"/>
              </w:rPr>
            </w:r>
            <w:r/>
          </w:p>
        </w:tc>
      </w:tr>
      <w:tr>
        <w:trPr>
          <w:trHeight w:val="755"/>
        </w:trPr>
        <w:tc>
          <w:tcPr>
            <w:tcMar>
              <w:left w:w="108" w:type="dxa"/>
              <w:top w:w="0" w:type="dxa"/>
              <w:right w:w="108" w:type="dxa"/>
              <w:bottom w:w="0" w:type="dxa"/>
            </w:tcMar>
            <w:tcW w:w="625"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106"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218"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671"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0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r>
      <w:tr>
        <w:trPr>
          <w:trHeight w:val="923"/>
        </w:trPr>
        <w:tc>
          <w:tcPr>
            <w:tcMar>
              <w:left w:w="108" w:type="dxa"/>
              <w:top w:w="0" w:type="dxa"/>
              <w:right w:w="108" w:type="dxa"/>
              <w:bottom w:w="0" w:type="dxa"/>
            </w:tcMar>
            <w:tcW w:w="625"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106"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218"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671"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0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r>
      <w:tr>
        <w:trPr>
          <w:trHeight w:val="923"/>
        </w:trPr>
        <w:tc>
          <w:tcPr>
            <w:tcMar>
              <w:left w:w="108" w:type="dxa"/>
              <w:top w:w="0" w:type="dxa"/>
              <w:right w:w="108" w:type="dxa"/>
              <w:bottom w:w="0" w:type="dxa"/>
            </w:tcMar>
            <w:tcW w:w="625"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106"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218"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671"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0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r>
      <w:tr>
        <w:trPr>
          <w:trHeight w:val="923"/>
        </w:trPr>
        <w:tc>
          <w:tcPr>
            <w:tcMar>
              <w:left w:w="108" w:type="dxa"/>
              <w:top w:w="0" w:type="dxa"/>
              <w:right w:w="108" w:type="dxa"/>
              <w:bottom w:w="0" w:type="dxa"/>
            </w:tcMar>
            <w:tcW w:w="625"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106"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218"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671"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0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r>
      <w:tr>
        <w:trPr>
          <w:trHeight w:val="933"/>
        </w:trPr>
        <w:tc>
          <w:tcPr>
            <w:tcMar>
              <w:left w:w="108" w:type="dxa"/>
              <w:top w:w="0" w:type="dxa"/>
              <w:right w:w="108" w:type="dxa"/>
              <w:bottom w:w="0" w:type="dxa"/>
            </w:tcMar>
            <w:tcW w:w="625"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106"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218"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14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b/>
                <w:bCs/>
                <w:szCs w:val="21"/>
              </w:rPr>
            </w:pPr>
            <w:r>
              <w:rPr>
                <w:rFonts w:ascii="微软雅黑" w:hAnsi="微软雅黑" w:cs="微软雅黑"/>
                <w:b/>
                <w:bCs/>
                <w:szCs w:val="21"/>
              </w:rPr>
            </w:r>
            <w:r/>
          </w:p>
        </w:tc>
        <w:tc>
          <w:tcPr>
            <w:tcMar>
              <w:left w:w="108" w:type="dxa"/>
              <w:top w:w="0" w:type="dxa"/>
              <w:right w:w="108" w:type="dxa"/>
              <w:bottom w:w="0" w:type="dxa"/>
            </w:tcMar>
            <w:tcW w:w="8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671"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1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c>
          <w:tcPr>
            <w:tcMar>
              <w:left w:w="108" w:type="dxa"/>
              <w:top w:w="0" w:type="dxa"/>
              <w:right w:w="108" w:type="dxa"/>
              <w:bottom w:w="0" w:type="dxa"/>
            </w:tcMar>
            <w:tcW w:w="904" w:type="dxa"/>
            <w:vAlign w:val="top"/>
            <w:textDirection w:val="lrTb"/>
            <w:noWrap w:val="false"/>
          </w:tcPr>
          <w:p>
            <w:pPr>
              <w:pStyle w:val="1044"/>
              <w:spacing w:line="440" w:lineRule="exact"/>
              <w:rPr>
                <w:rFonts w:ascii="微软雅黑" w:hAnsi="微软雅黑" w:cs="微软雅黑"/>
                <w:szCs w:val="21"/>
              </w:rPr>
            </w:pPr>
            <w:r>
              <w:rPr>
                <w:rFonts w:hint="eastAsia" w:ascii="微软雅黑" w:hAnsi="微软雅黑" w:cs="微软雅黑"/>
                <w:b/>
                <w:bCs/>
                <w:szCs w:val="21"/>
              </w:rPr>
              <w:t xml:space="preserve"> </w:t>
            </w:r>
            <w:r>
              <w:rPr>
                <w:rFonts w:ascii="微软雅黑" w:hAnsi="微软雅黑" w:cs="微软雅黑"/>
                <w:szCs w:val="21"/>
              </w:rPr>
            </w:r>
            <w:r/>
          </w:p>
        </w:tc>
      </w:tr>
    </w:tbl>
    <w:p>
      <w:pPr>
        <w:pStyle w:val="1044"/>
        <w:spacing w:line="540" w:lineRule="exact"/>
        <w:rPr>
          <w:rFonts w:ascii="微软雅黑" w:hAnsi="微软雅黑" w:cs="微软雅黑"/>
          <w:szCs w:val="21"/>
        </w:rPr>
      </w:pPr>
      <w:r>
        <w:rPr>
          <w:rFonts w:hint="eastAsia" w:ascii="微软雅黑" w:hAnsi="微软雅黑" w:cs="微软雅黑"/>
          <w:szCs w:val="21"/>
        </w:rPr>
        <w:t xml:space="preserve">注：投标人需写明所投所有设备的品牌（包含材料、设备各零部件等）。</w:t>
      </w:r>
      <w:r>
        <w:rPr>
          <w:rFonts w:ascii="微软雅黑" w:hAnsi="微软雅黑" w:cs="微软雅黑"/>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225"/>
        <w:jc w:val="center"/>
        <w:spacing w:line="440" w:lineRule="exact"/>
        <w:rPr>
          <w:rFonts w:ascii="微软雅黑" w:hAnsi="微软雅黑" w:cs="微软雅黑"/>
          <w:b w:val="0"/>
          <w:sz w:val="28"/>
          <w:szCs w:val="28"/>
        </w:rPr>
      </w:pPr>
      <w:r>
        <w:rPr>
          <w:rFonts w:hint="eastAsia" w:ascii="微软雅黑" w:hAnsi="微软雅黑" w:cs="微软雅黑"/>
          <w:b w:val="0"/>
          <w:sz w:val="28"/>
          <w:szCs w:val="28"/>
        </w:rPr>
        <w:br w:type="page" w:clear="all"/>
      </w:r>
      <w:r>
        <w:rPr>
          <w:rFonts w:hint="eastAsia" w:ascii="微软雅黑" w:hAnsi="微软雅黑" w:cs="微软雅黑"/>
          <w:sz w:val="24"/>
          <w:szCs w:val="24"/>
        </w:rPr>
        <w:t xml:space="preserve">8、项目负责人简历表</w:t>
      </w:r>
      <w:r>
        <w:rPr>
          <w:rFonts w:ascii="微软雅黑" w:hAnsi="微软雅黑" w:cs="微软雅黑"/>
          <w:b w:val="0"/>
          <w:sz w:val="28"/>
          <w:szCs w:val="28"/>
        </w:rPr>
      </w:r>
      <w:r/>
    </w:p>
    <w:tbl>
      <w:tblPr>
        <w:tblW w:w="95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635"/>
        <w:gridCol w:w="381"/>
        <w:gridCol w:w="562"/>
        <w:gridCol w:w="572"/>
        <w:gridCol w:w="649"/>
        <w:gridCol w:w="258"/>
        <w:gridCol w:w="794"/>
        <w:gridCol w:w="529"/>
        <w:gridCol w:w="605"/>
        <w:gridCol w:w="437"/>
        <w:gridCol w:w="589"/>
        <w:gridCol w:w="250"/>
        <w:gridCol w:w="851"/>
        <w:gridCol w:w="1139"/>
      </w:tblGrid>
      <w:tr>
        <w:trPr/>
        <w:tc>
          <w:tcPr>
            <w:tcW w:w="1252"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姓名</w:t>
            </w:r>
            <w:r>
              <w:rPr>
                <w:rFonts w:ascii="微软雅黑" w:hAnsi="微软雅黑" w:eastAsia="微软雅黑" w:cs="微软雅黑"/>
                <w:sz w:val="21"/>
                <w:szCs w:val="21"/>
              </w:rPr>
            </w:r>
            <w:r/>
          </w:p>
        </w:tc>
        <w:tc>
          <w:tcPr>
            <w:gridSpan w:val="3"/>
            <w:tcW w:w="157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47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性别</w:t>
            </w:r>
            <w:r>
              <w:rPr>
                <w:rFonts w:ascii="微软雅黑" w:hAnsi="微软雅黑" w:eastAsia="微软雅黑" w:cs="微软雅黑"/>
                <w:sz w:val="21"/>
                <w:szCs w:val="21"/>
              </w:rPr>
            </w:r>
            <w:r/>
          </w:p>
        </w:tc>
        <w:tc>
          <w:tcPr>
            <w:gridSpan w:val="2"/>
            <w:tcW w:w="1323"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63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年龄</w:t>
            </w:r>
            <w:r>
              <w:rPr>
                <w:rFonts w:ascii="微软雅黑" w:hAnsi="微软雅黑" w:eastAsia="微软雅黑" w:cs="微软雅黑"/>
                <w:sz w:val="21"/>
                <w:szCs w:val="21"/>
              </w:rPr>
            </w:r>
            <w:r/>
          </w:p>
        </w:tc>
        <w:tc>
          <w:tcPr>
            <w:gridSpan w:val="3"/>
            <w:tcW w:w="2240"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c>
          <w:tcPr>
            <w:tcW w:w="1252"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职务</w:t>
            </w:r>
            <w:r>
              <w:rPr>
                <w:rFonts w:ascii="微软雅黑" w:hAnsi="微软雅黑" w:eastAsia="微软雅黑" w:cs="微软雅黑"/>
                <w:sz w:val="21"/>
                <w:szCs w:val="21"/>
              </w:rPr>
            </w:r>
            <w:r/>
          </w:p>
        </w:tc>
        <w:tc>
          <w:tcPr>
            <w:gridSpan w:val="3"/>
            <w:tcW w:w="157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47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职称</w:t>
            </w:r>
            <w:r>
              <w:rPr>
                <w:rFonts w:ascii="微软雅黑" w:hAnsi="微软雅黑" w:eastAsia="微软雅黑" w:cs="微软雅黑"/>
                <w:sz w:val="21"/>
                <w:szCs w:val="21"/>
              </w:rPr>
            </w:r>
            <w:r/>
          </w:p>
        </w:tc>
        <w:tc>
          <w:tcPr>
            <w:gridSpan w:val="2"/>
            <w:tcW w:w="1323"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63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学历</w:t>
            </w:r>
            <w:r>
              <w:rPr>
                <w:rFonts w:ascii="微软雅黑" w:hAnsi="微软雅黑" w:eastAsia="微软雅黑" w:cs="微软雅黑"/>
                <w:sz w:val="21"/>
                <w:szCs w:val="21"/>
              </w:rPr>
            </w:r>
            <w:r/>
          </w:p>
        </w:tc>
        <w:tc>
          <w:tcPr>
            <w:gridSpan w:val="3"/>
            <w:tcW w:w="2240"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2"/>
            <w:tcW w:w="1887"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参加工作时间</w:t>
            </w:r>
            <w:r>
              <w:rPr>
                <w:rFonts w:ascii="微软雅黑" w:hAnsi="微软雅黑" w:eastAsia="微软雅黑" w:cs="微软雅黑"/>
                <w:sz w:val="21"/>
                <w:szCs w:val="21"/>
              </w:rPr>
            </w:r>
            <w:r/>
          </w:p>
        </w:tc>
        <w:tc>
          <w:tcPr>
            <w:gridSpan w:val="4"/>
            <w:tcW w:w="216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5"/>
            <w:tcW w:w="2623"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从事项目负责人年限</w:t>
            </w:r>
            <w:r>
              <w:rPr>
                <w:rFonts w:ascii="微软雅黑" w:hAnsi="微软雅黑" w:eastAsia="微软雅黑" w:cs="微软雅黑"/>
                <w:sz w:val="21"/>
                <w:szCs w:val="21"/>
              </w:rPr>
            </w:r>
            <w:r/>
          </w:p>
        </w:tc>
        <w:tc>
          <w:tcPr>
            <w:gridSpan w:val="4"/>
            <w:tcW w:w="282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15"/>
            <w:tcW w:w="9503"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项目负责人业绩（主要针对业绩评分内容填写）</w:t>
            </w: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项目名称</w:t>
            </w: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建设规模</w:t>
            </w: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开、竣工程日期</w:t>
            </w: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结构类型</w:t>
            </w: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层数及高度</w:t>
            </w: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中标价</w:t>
            </w: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其它情况</w:t>
            </w: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Pr>
        <w:tc>
          <w:tcPr>
            <w:gridSpan w:val="3"/>
            <w:tcW w:w="226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70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2"/>
            <w:tcW w:w="113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gridSpan w:val="3"/>
            <w:tcW w:w="127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51"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13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bl>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44"/>
        <w:jc w:val="left"/>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p>
      <w:pPr>
        <w:pStyle w:val="1044"/>
        <w:jc w:val="left"/>
        <w:spacing w:line="440" w:lineRule="exact"/>
        <w:tabs>
          <w:tab w:val="left" w:pos="142" w:leader="none"/>
        </w:tabs>
        <w:rPr>
          <w:rStyle w:val="1217"/>
          <w:rFonts w:ascii="微软雅黑" w:hAnsi="微软雅黑" w:eastAsia="微软雅黑" w:cs="微软雅黑"/>
          <w:bCs/>
          <w:szCs w:val="21"/>
        </w:rPr>
      </w:pPr>
      <w:r>
        <w:rPr>
          <w:rStyle w:val="1217"/>
          <w:rFonts w:hint="eastAsia" w:ascii="微软雅黑" w:hAnsi="微软雅黑" w:eastAsia="微软雅黑" w:cs="微软雅黑"/>
          <w:bCs/>
          <w:szCs w:val="21"/>
          <w:lang w:val="zh-CN"/>
        </w:rPr>
        <w:t xml:space="preserve">注：</w:t>
      </w:r>
      <w:r>
        <w:rPr>
          <w:rStyle w:val="1217"/>
          <w:rFonts w:hint="eastAsia" w:ascii="微软雅黑" w:hAnsi="微软雅黑" w:eastAsia="微软雅黑" w:cs="微软雅黑"/>
          <w:bCs/>
          <w:szCs w:val="21"/>
        </w:rPr>
        <w:t xml:space="preserve">附相关证书等证明材料，原件评标时备查，且须附投标人为项目负责人缴纳社保的证明材料，养老保险缴费证明为社保中心出具的加盖社保中心章或社保中心参保缴费证明电子专用章的相关证明材料。</w:t>
      </w:r>
      <w:r>
        <w:rPr>
          <w:rStyle w:val="1217"/>
          <w:rFonts w:ascii="微软雅黑" w:hAnsi="微软雅黑" w:eastAsia="微软雅黑" w:cs="微软雅黑"/>
          <w:bCs/>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25"/>
        <w:jc w:val="center"/>
        <w:spacing w:line="440" w:lineRule="exact"/>
        <w:rPr>
          <w:rFonts w:hint="eastAsia" w:ascii="微软雅黑" w:hAnsi="微软雅黑" w:cs="微软雅黑"/>
          <w:sz w:val="24"/>
          <w:szCs w:val="24"/>
        </w:rPr>
      </w:pPr>
      <w:r>
        <w:rPr>
          <w:rFonts w:hint="eastAsia" w:ascii="微软雅黑" w:hAnsi="微软雅黑" w:cs="微软雅黑"/>
          <w:sz w:val="24"/>
          <w:szCs w:val="24"/>
        </w:rPr>
        <w:t xml:space="preserve">9、 投标人（企业）业绩表</w:t>
      </w:r>
      <w:r>
        <w:rPr>
          <w:rFonts w:hint="eastAsia" w:ascii="微软雅黑" w:hAnsi="微软雅黑" w:cs="微软雅黑"/>
          <w:sz w:val="24"/>
          <w:szCs w:val="24"/>
        </w:rPr>
      </w:r>
      <w:r/>
    </w:p>
    <w:tbl>
      <w:tblPr>
        <w:tblW w:w="814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8"/>
        <w:gridCol w:w="1313"/>
        <w:gridCol w:w="1490"/>
        <w:gridCol w:w="1526"/>
        <w:gridCol w:w="1295"/>
        <w:gridCol w:w="1972"/>
      </w:tblGrid>
      <w:tr>
        <w:trPr>
          <w:trHeight w:val="1148"/>
        </w:trPr>
        <w:tc>
          <w:tcPr>
            <w:tcW w:w="548"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序号</w:t>
            </w:r>
            <w:r>
              <w:rPr>
                <w:rStyle w:val="1217"/>
                <w:rFonts w:ascii="微软雅黑" w:hAnsi="微软雅黑" w:eastAsia="微软雅黑" w:cs="微软雅黑"/>
                <w:bCs/>
                <w:szCs w:val="21"/>
                <w:lang w:val="zh-CN"/>
              </w:rPr>
            </w:r>
            <w:r/>
          </w:p>
        </w:tc>
        <w:tc>
          <w:tcPr>
            <w:tcW w:w="1313"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rPr>
              <w:t xml:space="preserve">项目</w:t>
            </w:r>
            <w:r>
              <w:rPr>
                <w:rStyle w:val="1217"/>
                <w:rFonts w:hint="eastAsia" w:ascii="微软雅黑" w:hAnsi="微软雅黑" w:eastAsia="微软雅黑" w:cs="微软雅黑"/>
                <w:bCs/>
                <w:szCs w:val="21"/>
                <w:lang w:val="zh-CN"/>
              </w:rPr>
              <w:t xml:space="preserve">名称</w:t>
            </w:r>
            <w:r>
              <w:rPr>
                <w:rStyle w:val="1217"/>
                <w:rFonts w:ascii="微软雅黑" w:hAnsi="微软雅黑" w:eastAsia="微软雅黑" w:cs="微软雅黑"/>
                <w:bCs/>
                <w:szCs w:val="21"/>
                <w:lang w:val="zh-CN"/>
              </w:rPr>
            </w:r>
            <w:r/>
          </w:p>
        </w:tc>
        <w:tc>
          <w:tcPr>
            <w:tcW w:w="1490"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采购单位联系人、联系方式</w:t>
            </w:r>
            <w:r>
              <w:rPr>
                <w:rStyle w:val="1217"/>
                <w:rFonts w:ascii="微软雅黑" w:hAnsi="微软雅黑" w:eastAsia="微软雅黑" w:cs="微软雅黑"/>
                <w:bCs/>
                <w:szCs w:val="21"/>
                <w:lang w:val="zh-CN"/>
              </w:rPr>
            </w:r>
            <w:r/>
          </w:p>
        </w:tc>
        <w:tc>
          <w:tcPr>
            <w:tcW w:w="152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开、竣工程</w:t>
            </w:r>
            <w:r>
              <w:rPr>
                <w:rFonts w:ascii="微软雅黑" w:hAnsi="微软雅黑" w:eastAsia="微软雅黑" w:cs="微软雅黑"/>
                <w:sz w:val="21"/>
                <w:szCs w:val="21"/>
              </w:rPr>
            </w:r>
            <w:r/>
          </w:p>
          <w:p>
            <w:pPr>
              <w:pStyle w:val="1044"/>
              <w:jc w:val="center"/>
              <w:spacing w:line="440" w:lineRule="exact"/>
              <w:tabs>
                <w:tab w:val="left" w:pos="142" w:leader="none"/>
              </w:tabs>
              <w:rPr>
                <w:rStyle w:val="1217"/>
                <w:rFonts w:ascii="微软雅黑" w:hAnsi="微软雅黑" w:eastAsia="微软雅黑" w:cs="微软雅黑"/>
                <w:bCs/>
                <w:szCs w:val="21"/>
                <w:lang w:val="zh-CN"/>
              </w:rPr>
            </w:pPr>
            <w:r>
              <w:rPr>
                <w:rFonts w:hint="eastAsia" w:ascii="微软雅黑" w:hAnsi="微软雅黑" w:cs="微软雅黑"/>
                <w:szCs w:val="21"/>
              </w:rPr>
              <w:t xml:space="preserve">日期</w:t>
            </w:r>
            <w:r>
              <w:rPr>
                <w:rStyle w:val="1217"/>
                <w:rFonts w:ascii="微软雅黑" w:hAnsi="微软雅黑" w:eastAsia="微软雅黑" w:cs="微软雅黑"/>
                <w:bCs/>
                <w:szCs w:val="21"/>
                <w:lang w:val="zh-CN"/>
              </w:rPr>
            </w:r>
            <w:r/>
          </w:p>
        </w:tc>
        <w:tc>
          <w:tcPr>
            <w:tcW w:w="1295"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合同金额</w:t>
            </w:r>
            <w:r>
              <w:rPr>
                <w:rStyle w:val="1217"/>
                <w:rFonts w:ascii="微软雅黑" w:hAnsi="微软雅黑" w:eastAsia="微软雅黑" w:cs="微软雅黑"/>
                <w:bCs/>
                <w:szCs w:val="21"/>
                <w:lang w:val="zh-CN"/>
              </w:rPr>
            </w:r>
            <w:r/>
          </w:p>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（万元）</w:t>
            </w:r>
            <w:r>
              <w:rPr>
                <w:rStyle w:val="1217"/>
                <w:rFonts w:ascii="微软雅黑" w:hAnsi="微软雅黑" w:eastAsia="微软雅黑" w:cs="微软雅黑"/>
                <w:bCs/>
                <w:szCs w:val="21"/>
                <w:lang w:val="zh-CN"/>
              </w:rPr>
            </w:r>
            <w:r/>
          </w:p>
        </w:tc>
        <w:tc>
          <w:tcPr>
            <w:tcW w:w="1972"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证明材料</w:t>
            </w:r>
            <w:r>
              <w:rPr>
                <w:rStyle w:val="1217"/>
                <w:rFonts w:ascii="微软雅黑" w:hAnsi="微软雅黑" w:eastAsia="微软雅黑" w:cs="微软雅黑"/>
                <w:bCs/>
                <w:szCs w:val="21"/>
                <w:lang w:val="zh-CN"/>
              </w:rPr>
            </w:r>
            <w:r/>
          </w:p>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（第几页—第几页）</w:t>
            </w:r>
            <w:r>
              <w:rPr>
                <w:rStyle w:val="1217"/>
                <w:rFonts w:ascii="微软雅黑" w:hAnsi="微软雅黑" w:eastAsia="微软雅黑" w:cs="微软雅黑"/>
                <w:bCs/>
                <w:szCs w:val="21"/>
                <w:lang w:val="zh-CN"/>
              </w:rPr>
            </w:r>
            <w:r/>
          </w:p>
        </w:tc>
      </w:tr>
      <w:tr>
        <w:trPr>
          <w:trHeight w:val="697"/>
        </w:trPr>
        <w:tc>
          <w:tcPr>
            <w:tcW w:w="548"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313"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490"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526"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295"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972"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r>
      <w:tr>
        <w:trPr>
          <w:trHeight w:val="591"/>
        </w:trPr>
        <w:tc>
          <w:tcPr>
            <w:tcW w:w="548"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313"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490"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526"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295"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972"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r>
      <w:tr>
        <w:trPr>
          <w:trHeight w:val="580"/>
        </w:trPr>
        <w:tc>
          <w:tcPr>
            <w:tcW w:w="548"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313"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490"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526"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295"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972"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r>
      <w:tr>
        <w:trPr>
          <w:trHeight w:val="580"/>
        </w:trPr>
        <w:tc>
          <w:tcPr>
            <w:tcW w:w="548"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313"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490"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526"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295"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972"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r>
      <w:tr>
        <w:trPr>
          <w:trHeight w:val="593"/>
        </w:trPr>
        <w:tc>
          <w:tcPr>
            <w:tcW w:w="548"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313"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490"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526"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295"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c>
          <w:tcPr>
            <w:tcW w:w="1972" w:type="dxa"/>
            <w:vAlign w:val="center"/>
            <w:textDirection w:val="lrTb"/>
            <w:noWrap w:val="false"/>
          </w:tcPr>
          <w:p>
            <w:pPr>
              <w:pStyle w:val="1044"/>
              <w:jc w:val="center"/>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tc>
      </w:tr>
    </w:tbl>
    <w:p>
      <w:pPr>
        <w:pStyle w:val="1044"/>
        <w:ind w:firstLine="3570"/>
        <w:jc w:val="left"/>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44"/>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jc w:val="left"/>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注：</w:t>
      </w:r>
      <w:r>
        <w:rPr>
          <w:rStyle w:val="1217"/>
          <w:rFonts w:ascii="微软雅黑" w:hAnsi="微软雅黑" w:eastAsia="微软雅黑" w:cs="微软雅黑"/>
          <w:bCs/>
          <w:szCs w:val="21"/>
          <w:lang w:val="zh-CN"/>
        </w:rPr>
      </w:r>
      <w:r/>
    </w:p>
    <w:p>
      <w:pPr>
        <w:pStyle w:val="1044"/>
        <w:jc w:val="left"/>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①此表为表样，须填写完整，行数可自行添加，但表式不变。</w:t>
      </w:r>
      <w:r>
        <w:rPr>
          <w:rStyle w:val="1217"/>
          <w:rFonts w:ascii="微软雅黑" w:hAnsi="微软雅黑" w:eastAsia="微软雅黑" w:cs="微软雅黑"/>
          <w:bCs/>
          <w:szCs w:val="21"/>
          <w:lang w:val="zh-CN"/>
        </w:rPr>
      </w:r>
      <w:r/>
    </w:p>
    <w:p>
      <w:pPr>
        <w:pStyle w:val="1044"/>
        <w:jc w:val="left"/>
        <w:spacing w:line="440" w:lineRule="exact"/>
        <w:tabs>
          <w:tab w:val="left" w:pos="142" w:leader="none"/>
        </w:tabs>
        <w:rPr>
          <w:rStyle w:val="1217"/>
          <w:rFonts w:ascii="微软雅黑" w:hAnsi="微软雅黑" w:eastAsia="微软雅黑" w:cs="微软雅黑"/>
          <w:bCs/>
          <w:szCs w:val="21"/>
          <w:lang w:val="zh-CN"/>
        </w:rPr>
      </w:pPr>
      <w:r>
        <w:rPr>
          <w:rStyle w:val="1217"/>
          <w:rFonts w:hint="eastAsia" w:ascii="微软雅黑" w:hAnsi="微软雅黑" w:eastAsia="微软雅黑" w:cs="微软雅黑"/>
          <w:bCs/>
          <w:szCs w:val="21"/>
          <w:lang w:val="zh-CN"/>
        </w:rPr>
        <w:t xml:space="preserve">②投标单位所提供的经营业绩必须列入上表中，未列入上表的不予计算。评委将依据每个经营业绩所附证明材料的有效性判断该业绩有效性。</w:t>
      </w:r>
      <w:r>
        <w:rPr>
          <w:rStyle w:val="1217"/>
          <w:rFonts w:ascii="微软雅黑" w:hAnsi="微软雅黑" w:eastAsia="微软雅黑" w:cs="微软雅黑"/>
          <w:bCs/>
          <w:szCs w:val="21"/>
          <w:lang w:val="zh-CN"/>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225"/>
        <w:jc w:val="center"/>
        <w:spacing w:line="440" w:lineRule="exact"/>
        <w:rPr>
          <w:rFonts w:ascii="微软雅黑" w:hAnsi="微软雅黑" w:cs="微软雅黑"/>
          <w:b w:val="0"/>
          <w:sz w:val="28"/>
          <w:szCs w:val="28"/>
        </w:rPr>
      </w:pPr>
      <w:r>
        <w:rPr>
          <w:rFonts w:hint="eastAsia" w:ascii="微软雅黑" w:hAnsi="微软雅黑" w:cs="微软雅黑"/>
          <w:b w:val="0"/>
          <w:sz w:val="28"/>
          <w:szCs w:val="28"/>
        </w:rPr>
        <w:br w:type="page" w:clear="all"/>
      </w:r>
      <w:r>
        <w:rPr>
          <w:rFonts w:hint="eastAsia" w:ascii="微软雅黑" w:hAnsi="微软雅黑" w:cs="微软雅黑"/>
          <w:sz w:val="24"/>
          <w:szCs w:val="24"/>
        </w:rPr>
        <w:t xml:space="preserve">10、主要施工管理人员表</w:t>
      </w:r>
      <w:r>
        <w:rPr>
          <w:rFonts w:ascii="微软雅黑" w:hAnsi="微软雅黑" w:cs="微软雅黑"/>
          <w:b w:val="0"/>
          <w:sz w:val="28"/>
          <w:szCs w:val="28"/>
        </w:rPr>
      </w:r>
      <w:r/>
    </w:p>
    <w:tbl>
      <w:tblPr>
        <w:tblW w:w="9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682"/>
        <w:gridCol w:w="816"/>
        <w:gridCol w:w="816"/>
        <w:gridCol w:w="5243"/>
      </w:tblGrid>
      <w:tr>
        <w:trPr/>
        <w:tc>
          <w:tcPr>
            <w:tcW w:w="1843"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w:t>
            </w:r>
            <w:r>
              <w:rPr>
                <w:rFonts w:ascii="微软雅黑" w:hAnsi="微软雅黑" w:eastAsia="微软雅黑" w:cs="微软雅黑"/>
                <w:sz w:val="21"/>
                <w:szCs w:val="21"/>
              </w:rPr>
            </w:r>
            <w:r/>
          </w:p>
        </w:tc>
        <w:tc>
          <w:tcPr>
            <w:tcW w:w="682"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姓名</w:t>
            </w:r>
            <w:r>
              <w:rPr>
                <w:rFonts w:ascii="微软雅黑" w:hAnsi="微软雅黑" w:eastAsia="微软雅黑" w:cs="微软雅黑"/>
                <w:sz w:val="21"/>
                <w:szCs w:val="21"/>
              </w:rPr>
            </w:r>
            <w:r/>
          </w:p>
        </w:tc>
        <w:tc>
          <w:tcPr>
            <w:tcW w:w="81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职务</w:t>
            </w:r>
            <w:r>
              <w:rPr>
                <w:rFonts w:ascii="微软雅黑" w:hAnsi="微软雅黑" w:eastAsia="微软雅黑" w:cs="微软雅黑"/>
                <w:sz w:val="21"/>
                <w:szCs w:val="21"/>
              </w:rPr>
            </w:r>
            <w:r/>
          </w:p>
        </w:tc>
        <w:tc>
          <w:tcPr>
            <w:tcW w:w="816"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职称</w:t>
            </w:r>
            <w:r>
              <w:rPr>
                <w:rFonts w:ascii="微软雅黑" w:hAnsi="微软雅黑" w:eastAsia="微软雅黑" w:cs="微软雅黑"/>
                <w:sz w:val="21"/>
                <w:szCs w:val="21"/>
              </w:rPr>
            </w:r>
            <w:r/>
          </w:p>
        </w:tc>
        <w:tc>
          <w:tcPr>
            <w:tcW w:w="5243"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主要资历、经验及承担过的项目</w:t>
            </w:r>
            <w:r>
              <w:rPr>
                <w:rFonts w:ascii="微软雅黑" w:hAnsi="微软雅黑" w:eastAsia="微软雅黑" w:cs="微软雅黑"/>
                <w:sz w:val="21"/>
                <w:szCs w:val="21"/>
              </w:rPr>
            </w:r>
            <w:r/>
          </w:p>
        </w:tc>
      </w:tr>
      <w:tr>
        <w:trPr/>
        <w:tc>
          <w:tcPr>
            <w:tcW w:w="1843" w:type="dxa"/>
            <w:vAlign w:val="top"/>
            <w:textDirection w:val="lrTb"/>
            <w:noWrap w:val="false"/>
          </w:tcPr>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一、总部</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1.项目主管</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2.其他人员</w:t>
            </w:r>
            <w:r>
              <w:rPr>
                <w:rFonts w:ascii="微软雅黑" w:hAnsi="微软雅黑" w:eastAsia="微软雅黑" w:cs="微软雅黑"/>
                <w:sz w:val="21"/>
                <w:szCs w:val="21"/>
              </w:rPr>
            </w:r>
            <w:r/>
          </w:p>
          <w:p>
            <w:pPr>
              <w:pStyle w:val="1073"/>
              <w:ind w:firstLine="63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二、现场</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1.项目经理</w:t>
            </w:r>
            <w:r>
              <w:rPr>
                <w:rFonts w:ascii="微软雅黑" w:hAnsi="微软雅黑" w:eastAsia="微软雅黑" w:cs="微软雅黑"/>
                <w:sz w:val="21"/>
                <w:szCs w:val="21"/>
              </w:rPr>
            </w:r>
            <w:r/>
          </w:p>
          <w:p>
            <w:pPr>
              <w:pStyle w:val="1073"/>
              <w:jc w:val="left"/>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2.项目副经理</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3.质量管理</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4.材料管理</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5.计划管理</w:t>
            </w:r>
            <w:r>
              <w:rPr>
                <w:rFonts w:ascii="微软雅黑" w:hAnsi="微软雅黑" w:eastAsia="微软雅黑" w:cs="微软雅黑"/>
                <w:sz w:val="21"/>
                <w:szCs w:val="21"/>
              </w:rPr>
            </w:r>
            <w:r/>
          </w:p>
          <w:p>
            <w:pPr>
              <w:pStyle w:val="1073"/>
              <w:ind w:firstLine="21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6.安全管理</w:t>
            </w:r>
            <w:r>
              <w:rPr>
                <w:rFonts w:ascii="微软雅黑" w:hAnsi="微软雅黑" w:eastAsia="微软雅黑" w:cs="微软雅黑"/>
                <w:sz w:val="21"/>
                <w:szCs w:val="21"/>
              </w:rPr>
            </w:r>
            <w:r/>
          </w:p>
          <w:p>
            <w:pPr>
              <w:pStyle w:val="1073"/>
              <w:ind w:firstLine="63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ascii="微软雅黑" w:hAnsi="微软雅黑" w:eastAsia="微软雅黑" w:cs="微软雅黑"/>
                <w:sz w:val="21"/>
                <w:szCs w:val="21"/>
              </w:rPr>
            </w:r>
            <w:r/>
          </w:p>
        </w:tc>
        <w:tc>
          <w:tcPr>
            <w:tcW w:w="682"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1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1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5243"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bl>
    <w:p>
      <w:pPr>
        <w:pStyle w:val="1044"/>
        <w:ind w:firstLine="3570"/>
        <w:jc w:val="left"/>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44"/>
        <w:jc w:val="left"/>
        <w:spacing w:line="440" w:lineRule="exact"/>
        <w:tabs>
          <w:tab w:val="left" w:pos="142" w:leader="none"/>
        </w:tabs>
        <w:rPr>
          <w:rStyle w:val="1217"/>
          <w:rFonts w:ascii="微软雅黑" w:hAnsi="微软雅黑" w:eastAsia="微软雅黑" w:cs="微软雅黑"/>
          <w:bCs/>
          <w:szCs w:val="21"/>
          <w:lang w:val="zh-CN"/>
        </w:rPr>
      </w:pPr>
      <w:r>
        <w:rPr>
          <w:rStyle w:val="1217"/>
          <w:rFonts w:ascii="微软雅黑" w:hAnsi="微软雅黑" w:eastAsia="微软雅黑" w:cs="微软雅黑"/>
          <w:bCs/>
          <w:szCs w:val="21"/>
          <w:lang w:val="zh-CN"/>
        </w:rPr>
      </w:r>
      <w:r/>
    </w:p>
    <w:p>
      <w:pPr>
        <w:pStyle w:val="1044"/>
        <w:jc w:val="left"/>
        <w:spacing w:line="440" w:lineRule="exact"/>
        <w:tabs>
          <w:tab w:val="left" w:pos="142" w:leader="none"/>
        </w:tabs>
        <w:rPr>
          <w:rStyle w:val="1217"/>
          <w:rFonts w:ascii="微软雅黑" w:hAnsi="微软雅黑" w:eastAsia="微软雅黑" w:cs="微软雅黑"/>
          <w:bCs/>
          <w:szCs w:val="21"/>
        </w:rPr>
      </w:pPr>
      <w:r>
        <w:rPr>
          <w:rStyle w:val="1217"/>
          <w:rFonts w:hint="eastAsia" w:ascii="微软雅黑" w:hAnsi="微软雅黑" w:eastAsia="微软雅黑" w:cs="微软雅黑"/>
          <w:bCs/>
          <w:szCs w:val="21"/>
          <w:lang w:val="zh-CN"/>
        </w:rPr>
        <w:t xml:space="preserve">注：</w:t>
      </w:r>
      <w:r>
        <w:rPr>
          <w:rStyle w:val="1217"/>
          <w:rFonts w:hint="eastAsia" w:ascii="微软雅黑" w:hAnsi="微软雅黑" w:eastAsia="微软雅黑" w:cs="微软雅黑"/>
          <w:bCs/>
          <w:szCs w:val="21"/>
        </w:rPr>
        <w:t xml:space="preserve">附相关证书等证明材料，且须附投标人为每位成员缴纳社保的证明材料，养老保险缴费证明为社保中心出具的加盖社保中心章或社保中心参保缴费证明电子专用章的相关证明材料。</w:t>
      </w:r>
      <w:r>
        <w:rPr>
          <w:rStyle w:val="1217"/>
          <w:rFonts w:ascii="微软雅黑" w:hAnsi="微软雅黑" w:eastAsia="微软雅黑" w:cs="微软雅黑"/>
          <w:bCs/>
          <w:szCs w:val="21"/>
        </w:rPr>
      </w:r>
      <w:r/>
    </w:p>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225"/>
        <w:jc w:val="center"/>
        <w:spacing w:line="440" w:lineRule="exact"/>
        <w:rPr>
          <w:rFonts w:hint="eastAsia" w:ascii="微软雅黑" w:hAnsi="微软雅黑" w:cs="微软雅黑"/>
          <w:sz w:val="24"/>
          <w:szCs w:val="24"/>
        </w:rPr>
      </w:pPr>
      <w:r>
        <w:rPr>
          <w:rFonts w:hint="eastAsia" w:ascii="微软雅黑" w:hAnsi="微软雅黑" w:cs="微软雅黑"/>
          <w:sz w:val="24"/>
          <w:szCs w:val="24"/>
        </w:rPr>
        <w:t xml:space="preserve">11、主要施工机械设备表</w:t>
      </w:r>
      <w:r>
        <w:rPr>
          <w:rFonts w:hint="eastAsia" w:ascii="微软雅黑" w:hAnsi="微软雅黑" w:cs="微软雅黑"/>
          <w:sz w:val="24"/>
          <w:szCs w:val="24"/>
        </w:rPr>
      </w:r>
      <w:r/>
    </w:p>
    <w:tbl>
      <w:tblPr>
        <w:tblW w:w="9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20"/>
        <w:gridCol w:w="1046"/>
        <w:gridCol w:w="760"/>
        <w:gridCol w:w="1047"/>
        <w:gridCol w:w="1047"/>
        <w:gridCol w:w="1397"/>
        <w:gridCol w:w="1047"/>
        <w:gridCol w:w="781"/>
      </w:tblGrid>
      <w:tr>
        <w:trPr>
          <w:trHeight w:val="689"/>
        </w:trPr>
        <w:tc>
          <w:tcPr>
            <w:tcW w:w="759"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序号</w:t>
            </w:r>
            <w:r>
              <w:rPr>
                <w:rFonts w:ascii="微软雅黑" w:hAnsi="微软雅黑" w:eastAsia="微软雅黑" w:cs="微软雅黑"/>
                <w:sz w:val="21"/>
                <w:szCs w:val="21"/>
              </w:rPr>
            </w:r>
            <w:r/>
          </w:p>
        </w:tc>
        <w:tc>
          <w:tcPr>
            <w:tcW w:w="1620"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机械或设备名称</w:t>
            </w:r>
            <w:r>
              <w:rPr>
                <w:rFonts w:ascii="微软雅黑" w:hAnsi="微软雅黑" w:eastAsia="微软雅黑" w:cs="微软雅黑"/>
                <w:sz w:val="21"/>
                <w:szCs w:val="21"/>
              </w:rPr>
            </w:r>
            <w:r/>
          </w:p>
        </w:tc>
        <w:tc>
          <w:tcPr>
            <w:tcW w:w="1046"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型号规格</w:t>
            </w:r>
            <w:r>
              <w:rPr>
                <w:rFonts w:ascii="微软雅黑" w:hAnsi="微软雅黑" w:eastAsia="微软雅黑" w:cs="微软雅黑"/>
                <w:sz w:val="21"/>
                <w:szCs w:val="21"/>
              </w:rPr>
            </w:r>
            <w:r/>
          </w:p>
        </w:tc>
        <w:tc>
          <w:tcPr>
            <w:tcW w:w="760"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数量</w:t>
            </w:r>
            <w:r>
              <w:rPr>
                <w:rFonts w:ascii="微软雅黑" w:hAnsi="微软雅黑" w:eastAsia="微软雅黑" w:cs="微软雅黑"/>
                <w:sz w:val="21"/>
                <w:szCs w:val="21"/>
              </w:rPr>
            </w:r>
            <w:r/>
          </w:p>
        </w:tc>
        <w:tc>
          <w:tcPr>
            <w:tcW w:w="1047"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国别产地</w:t>
            </w:r>
            <w:r>
              <w:rPr>
                <w:rFonts w:ascii="微软雅黑" w:hAnsi="微软雅黑" w:eastAsia="微软雅黑" w:cs="微软雅黑"/>
                <w:sz w:val="21"/>
                <w:szCs w:val="21"/>
              </w:rPr>
            </w:r>
            <w:r/>
          </w:p>
        </w:tc>
        <w:tc>
          <w:tcPr>
            <w:tcW w:w="1047"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制造年份</w:t>
            </w:r>
            <w:r>
              <w:rPr>
                <w:rFonts w:ascii="微软雅黑" w:hAnsi="微软雅黑" w:eastAsia="微软雅黑" w:cs="微软雅黑"/>
                <w:sz w:val="21"/>
                <w:szCs w:val="21"/>
              </w:rPr>
            </w:r>
            <w:r/>
          </w:p>
        </w:tc>
        <w:tc>
          <w:tcPr>
            <w:tcW w:w="1397"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额定功率kW</w:t>
            </w:r>
            <w:r>
              <w:rPr>
                <w:rFonts w:ascii="微软雅黑" w:hAnsi="微软雅黑" w:eastAsia="微软雅黑" w:cs="微软雅黑"/>
                <w:sz w:val="21"/>
                <w:szCs w:val="21"/>
              </w:rPr>
            </w:r>
            <w:r/>
          </w:p>
        </w:tc>
        <w:tc>
          <w:tcPr>
            <w:tcW w:w="1047"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生产能力</w:t>
            </w:r>
            <w:r>
              <w:rPr>
                <w:rFonts w:ascii="微软雅黑" w:hAnsi="微软雅黑" w:eastAsia="微软雅黑" w:cs="微软雅黑"/>
                <w:sz w:val="21"/>
                <w:szCs w:val="21"/>
              </w:rPr>
            </w:r>
            <w:r/>
          </w:p>
        </w:tc>
        <w:tc>
          <w:tcPr>
            <w:tcW w:w="781"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备注</w:t>
            </w:r>
            <w:r>
              <w:rPr>
                <w:rFonts w:ascii="微软雅黑" w:hAnsi="微软雅黑" w:eastAsia="微软雅黑" w:cs="微软雅黑"/>
                <w:sz w:val="21"/>
                <w:szCs w:val="21"/>
              </w:rPr>
            </w:r>
            <w:r/>
          </w:p>
        </w:tc>
      </w:tr>
      <w:tr>
        <w:trPr>
          <w:trHeight w:val="28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30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30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28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30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28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30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trHeight w:val="304"/>
        </w:trPr>
        <w:tc>
          <w:tcPr>
            <w:tcW w:w="759"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62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6"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60"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39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1047"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81"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bl>
    <w:p>
      <w:pPr>
        <w:pStyle w:val="1073"/>
        <w:jc w:val="center"/>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73"/>
        <w:jc w:val="center"/>
        <w:spacing w:line="440" w:lineRule="exact"/>
        <w:rPr>
          <w:rFonts w:ascii="微软雅黑" w:hAnsi="微软雅黑" w:eastAsia="微软雅黑" w:cs="微软雅黑"/>
          <w:bCs/>
        </w:rPr>
      </w:pPr>
      <w:r>
        <w:rPr>
          <w:rFonts w:ascii="微软雅黑" w:hAnsi="微软雅黑" w:eastAsia="微软雅黑" w:cs="微软雅黑"/>
          <w:bCs/>
        </w:rPr>
      </w:r>
      <w:r/>
    </w:p>
    <w:p>
      <w:pPr>
        <w:pStyle w:val="1073"/>
        <w:jc w:val="center"/>
        <w:spacing w:line="440" w:lineRule="exact"/>
        <w:rPr>
          <w:rFonts w:ascii="微软雅黑" w:hAnsi="微软雅黑" w:eastAsia="微软雅黑" w:cs="微软雅黑"/>
          <w:bCs/>
        </w:rPr>
      </w:pPr>
      <w:r>
        <w:rPr>
          <w:rFonts w:hint="eastAsia" w:ascii="微软雅黑" w:hAnsi="微软雅黑" w:eastAsia="微软雅黑" w:cs="微软雅黑"/>
          <w:bCs/>
        </w:rPr>
        <w:br w:type="page" w:clear="all"/>
      </w:r>
      <w:r>
        <w:rPr>
          <w:rFonts w:hint="eastAsia" w:ascii="微软雅黑" w:hAnsi="微软雅黑" w:eastAsia="微软雅黑" w:cs="微软雅黑"/>
          <w:b/>
          <w:bCs/>
          <w:sz w:val="24"/>
          <w:szCs w:val="24"/>
        </w:rPr>
        <w:t xml:space="preserve">12、劳动力计划表</w:t>
      </w:r>
      <w:r>
        <w:rPr>
          <w:rFonts w:ascii="微软雅黑" w:hAnsi="微软雅黑" w:eastAsia="微软雅黑" w:cs="微软雅黑"/>
          <w:bCs/>
        </w:rPr>
      </w:r>
      <w:r/>
    </w:p>
    <w:p>
      <w:pPr>
        <w:pStyle w:val="1073"/>
        <w:spacing w:line="440" w:lineRule="exact"/>
        <w:rPr>
          <w:rFonts w:ascii="微软雅黑" w:hAnsi="微软雅黑" w:eastAsia="微软雅黑" w:cs="微软雅黑"/>
          <w:bCs/>
        </w:rPr>
      </w:pPr>
      <w:r>
        <w:rPr>
          <w:rFonts w:ascii="微软雅黑" w:hAnsi="微软雅黑" w:eastAsia="微软雅黑" w:cs="微软雅黑"/>
          <w:bCs/>
        </w:rPr>
      </w:r>
      <w:r/>
    </w:p>
    <w:p>
      <w:pPr>
        <w:pStyle w:val="1073"/>
        <w:ind w:firstLine="42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投标人应按所列格式提交包括分包人在内的估计的劳动力计划表。本计划表是以每班八小时工作制为基础的。</w:t>
      </w: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单位：人</w:t>
      </w:r>
      <w:r>
        <w:rPr>
          <w:rFonts w:ascii="微软雅黑" w:hAnsi="微软雅黑" w:eastAsia="微软雅黑" w:cs="微软雅黑"/>
          <w:sz w:val="21"/>
          <w:szCs w:val="21"/>
        </w:rPr>
      </w:r>
      <w:r/>
    </w:p>
    <w:tbl>
      <w:tblPr>
        <w:tblW w:w="80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9"/>
        <w:gridCol w:w="894"/>
        <w:gridCol w:w="754"/>
        <w:gridCol w:w="894"/>
        <w:gridCol w:w="894"/>
        <w:gridCol w:w="754"/>
        <w:gridCol w:w="754"/>
        <w:gridCol w:w="754"/>
      </w:tblGrid>
      <w:tr>
        <w:trPr>
          <w:cantSplit/>
          <w:trHeight w:val="205"/>
        </w:trPr>
        <w:tc>
          <w:tcPr>
            <w:tcW w:w="2329" w:type="dxa"/>
            <w:vAlign w:val="center"/>
            <w:vMerge w:val="restart"/>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工种、级别</w:t>
            </w:r>
            <w:r>
              <w:rPr>
                <w:rFonts w:ascii="微软雅黑" w:hAnsi="微软雅黑" w:eastAsia="微软雅黑" w:cs="微软雅黑"/>
                <w:sz w:val="21"/>
                <w:szCs w:val="21"/>
              </w:rPr>
            </w:r>
            <w:r/>
          </w:p>
        </w:tc>
        <w:tc>
          <w:tcPr>
            <w:gridSpan w:val="7"/>
            <w:tcW w:w="5698"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按工程施工阶段投入劳动力情况</w:t>
            </w:r>
            <w:r>
              <w:rPr>
                <w:rFonts w:ascii="微软雅黑" w:hAnsi="微软雅黑" w:eastAsia="微软雅黑" w:cs="微软雅黑"/>
                <w:sz w:val="21"/>
                <w:szCs w:val="21"/>
              </w:rPr>
            </w:r>
            <w:r/>
          </w:p>
        </w:tc>
      </w:tr>
      <w:tr>
        <w:trPr>
          <w:cantSplit/>
          <w:trHeight w:val="90"/>
        </w:trPr>
        <w:tc>
          <w:tcPr>
            <w:tcW w:w="2329" w:type="dxa"/>
            <w:vAlign w:val="center"/>
            <w:vMerge w:val="continue"/>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9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9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9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top"/>
            <w:textDirection w:val="lrTb"/>
            <w:noWrap w:val="false"/>
          </w:tcPr>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r>
        <w:trPr>
          <w:cantSplit/>
          <w:trHeight w:val="1648"/>
        </w:trPr>
        <w:tc>
          <w:tcPr>
            <w:tcW w:w="2329"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9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9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89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center"/>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c>
          <w:tcPr>
            <w:tcW w:w="754" w:type="dxa"/>
            <w:vAlign w:val="top"/>
            <w:textDirection w:val="lrTb"/>
            <w:noWrap w:val="false"/>
          </w:tcPr>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tc>
      </w:tr>
    </w:tbl>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spacing w:line="440" w:lineRule="exact"/>
        <w:rPr>
          <w:rFonts w:ascii="微软雅黑" w:hAnsi="微软雅黑" w:eastAsia="微软雅黑" w:cs="微软雅黑"/>
          <w:b/>
          <w:bCs/>
          <w:sz w:val="21"/>
          <w:szCs w:val="21"/>
        </w:rPr>
      </w:pPr>
      <w:r>
        <w:rPr>
          <w:rFonts w:ascii="微软雅黑" w:hAnsi="微软雅黑" w:eastAsia="微软雅黑" w:cs="微软雅黑"/>
          <w:b/>
          <w:bCs/>
          <w:sz w:val="21"/>
          <w:szCs w:val="21"/>
        </w:rPr>
      </w:r>
      <w:r/>
    </w:p>
    <w:p>
      <w:pPr>
        <w:pStyle w:val="1073"/>
        <w:jc w:val="center"/>
        <w:spacing w:line="440" w:lineRule="exact"/>
        <w:rPr>
          <w:rFonts w:ascii="微软雅黑" w:hAnsi="微软雅黑" w:eastAsia="微软雅黑" w:cs="微软雅黑"/>
          <w:bCs/>
        </w:rPr>
      </w:pPr>
      <w:r>
        <w:rPr>
          <w:rFonts w:hint="eastAsia" w:ascii="微软雅黑" w:hAnsi="微软雅黑" w:eastAsia="微软雅黑" w:cs="微软雅黑"/>
          <w:bCs/>
        </w:rPr>
        <w:br w:type="page" w:clear="all"/>
      </w:r>
      <w:r>
        <w:rPr>
          <w:rFonts w:hint="eastAsia" w:ascii="微软雅黑" w:hAnsi="微软雅黑" w:eastAsia="微软雅黑" w:cs="微软雅黑"/>
          <w:b/>
          <w:bCs/>
          <w:sz w:val="24"/>
          <w:szCs w:val="24"/>
        </w:rPr>
        <w:t xml:space="preserve">13、 施工方案或施工组织设计</w:t>
      </w:r>
      <w:r>
        <w:rPr>
          <w:rFonts w:ascii="微软雅黑" w:hAnsi="微软雅黑" w:eastAsia="微软雅黑" w:cs="微软雅黑"/>
          <w:bCs/>
        </w:rPr>
      </w:r>
      <w:r/>
    </w:p>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44"/>
        <w:ind w:firstLine="3570"/>
        <w:jc w:val="left"/>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 xml:space="preserve">14、计划开、竣工日期和施工进度表</w:t>
      </w:r>
      <w:r>
        <w:rPr>
          <w:rFonts w:hint="eastAsia" w:ascii="微软雅黑" w:hAnsi="微软雅黑" w:eastAsia="微软雅黑" w:cs="微软雅黑"/>
          <w:b/>
          <w:bCs/>
          <w:sz w:val="24"/>
          <w:szCs w:val="24"/>
        </w:rPr>
      </w:r>
      <w:r/>
    </w:p>
    <w:p>
      <w:pPr>
        <w:pStyle w:val="1073"/>
        <w:spacing w:line="44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073"/>
        <w:ind w:firstLine="42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投标人应提交初步的施工进度表，说明按采购文件要求的工期进行施工的各个关键日期。中标的投标人还要按合同条件有关条款的要求提交详细的施工进度计划。</w:t>
      </w:r>
      <w:r>
        <w:rPr>
          <w:rFonts w:ascii="微软雅黑" w:hAnsi="微软雅黑" w:eastAsia="微软雅黑" w:cs="微软雅黑"/>
          <w:sz w:val="21"/>
          <w:szCs w:val="21"/>
        </w:rPr>
      </w:r>
      <w:r/>
    </w:p>
    <w:p>
      <w:pPr>
        <w:pStyle w:val="1073"/>
        <w:ind w:firstLine="42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初步施工进度表可采用横道图(或关键线路网络图)表示，说明计划开工日期和各分项工程各阶段的完工日期和分包合同签订的日期。</w:t>
      </w:r>
      <w:r>
        <w:rPr>
          <w:rFonts w:ascii="微软雅黑" w:hAnsi="微软雅黑" w:eastAsia="微软雅黑" w:cs="微软雅黑"/>
          <w:sz w:val="21"/>
          <w:szCs w:val="21"/>
        </w:rPr>
      </w:r>
      <w:r/>
    </w:p>
    <w:p>
      <w:pPr>
        <w:pStyle w:val="1073"/>
        <w:ind w:firstLine="420"/>
        <w:spacing w:line="44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施工进度计划应与施工方案或施工组织设计相适应。</w:t>
      </w:r>
      <w:r>
        <w:rPr>
          <w:rFonts w:ascii="微软雅黑" w:hAnsi="微软雅黑" w:eastAsia="微软雅黑" w:cs="微软雅黑"/>
          <w:sz w:val="21"/>
          <w:szCs w:val="21"/>
        </w:rPr>
      </w:r>
      <w:r/>
    </w:p>
    <w:p>
      <w:pPr>
        <w:pStyle w:val="1044"/>
        <w:ind w:firstLine="3570"/>
        <w:jc w:val="left"/>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73"/>
        <w:jc w:val="center"/>
        <w:spacing w:line="440" w:lineRule="exact"/>
        <w:rPr>
          <w:rFonts w:ascii="微软雅黑" w:hAnsi="微软雅黑" w:eastAsia="微软雅黑" w:cs="微软雅黑"/>
          <w:bCs/>
        </w:rPr>
      </w:pPr>
      <w:r>
        <w:rPr>
          <w:rFonts w:ascii="微软雅黑" w:hAnsi="微软雅黑" w:eastAsia="微软雅黑" w:cs="微软雅黑"/>
          <w:bCs/>
        </w:rPr>
      </w:r>
      <w:r/>
    </w:p>
    <w:p>
      <w:pPr>
        <w:pStyle w:val="1073"/>
        <w:jc w:val="center"/>
        <w:spacing w:line="440" w:lineRule="exact"/>
        <w:rPr>
          <w:rFonts w:hint="eastAsia" w:ascii="微软雅黑" w:hAnsi="微软雅黑" w:eastAsia="微软雅黑" w:cs="微软雅黑"/>
          <w:bCs/>
        </w:rPr>
      </w:pPr>
      <w:r>
        <w:rPr>
          <w:rFonts w:hint="eastAsia" w:ascii="微软雅黑" w:hAnsi="微软雅黑" w:eastAsia="微软雅黑" w:cs="微软雅黑"/>
          <w:bCs/>
        </w:rPr>
      </w:r>
      <w:r/>
    </w:p>
    <w:p>
      <w:pPr>
        <w:pStyle w:val="1073"/>
        <w:jc w:val="center"/>
        <w:spacing w:line="440" w:lineRule="exact"/>
        <w:rPr>
          <w:rFonts w:hint="eastAsia" w:ascii="微软雅黑" w:hAnsi="微软雅黑" w:eastAsia="微软雅黑" w:cs="微软雅黑"/>
          <w:bCs/>
        </w:rPr>
      </w:pPr>
      <w:r>
        <w:rPr>
          <w:rFonts w:hint="eastAsia" w:ascii="微软雅黑" w:hAnsi="微软雅黑" w:eastAsia="微软雅黑" w:cs="微软雅黑"/>
          <w:bCs/>
        </w:rPr>
      </w:r>
      <w:r/>
    </w:p>
    <w:p>
      <w:pPr>
        <w:pStyle w:val="1073"/>
        <w:jc w:val="center"/>
        <w:spacing w:line="440" w:lineRule="exact"/>
        <w:rPr>
          <w:rFonts w:hint="eastAsia" w:ascii="微软雅黑" w:hAnsi="微软雅黑" w:eastAsia="微软雅黑" w:cs="微软雅黑"/>
          <w:bCs/>
        </w:rPr>
      </w:pPr>
      <w:r>
        <w:rPr>
          <w:rFonts w:hint="eastAsia" w:ascii="微软雅黑" w:hAnsi="微软雅黑" w:eastAsia="微软雅黑" w:cs="微软雅黑"/>
          <w:bCs/>
        </w:rPr>
      </w:r>
      <w:r/>
    </w:p>
    <w:p>
      <w:pPr>
        <w:pStyle w:val="1073"/>
        <w:jc w:val="center"/>
        <w:spacing w:line="440" w:lineRule="exact"/>
        <w:rPr>
          <w:rFonts w:hint="eastAsia" w:ascii="微软雅黑" w:hAnsi="微软雅黑" w:eastAsia="微软雅黑" w:cs="微软雅黑"/>
          <w:bCs/>
        </w:rPr>
      </w:pPr>
      <w:r>
        <w:rPr>
          <w:rFonts w:hint="eastAsia" w:ascii="微软雅黑" w:hAnsi="微软雅黑" w:eastAsia="微软雅黑" w:cs="微软雅黑"/>
          <w:bCs/>
        </w:rPr>
      </w:r>
      <w:r/>
    </w:p>
    <w:p>
      <w:pPr>
        <w:pStyle w:val="1073"/>
        <w:jc w:val="center"/>
        <w:spacing w:line="440" w:lineRule="exact"/>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 xml:space="preserve">15、 服务承诺（格式自拟）</w:t>
      </w:r>
      <w:r>
        <w:rPr>
          <w:rFonts w:hint="eastAsia" w:ascii="微软雅黑" w:hAnsi="微软雅黑" w:eastAsia="微软雅黑" w:cs="微软雅黑"/>
          <w:b/>
          <w:bCs/>
          <w:sz w:val="24"/>
          <w:szCs w:val="24"/>
        </w:rPr>
      </w:r>
      <w:r/>
    </w:p>
    <w:p>
      <w:pPr>
        <w:pStyle w:val="1044"/>
        <w:ind w:firstLine="3570"/>
        <w:jc w:val="left"/>
        <w:spacing w:line="440" w:lineRule="exact"/>
        <w:rPr>
          <w:rStyle w:val="1217"/>
          <w:rFonts w:ascii="微软雅黑" w:hAnsi="微软雅黑" w:eastAsia="微软雅黑" w:cs="微软雅黑"/>
          <w:szCs w:val="21"/>
        </w:rPr>
      </w:pPr>
      <w:r>
        <w:rPr>
          <w:rStyle w:val="1217"/>
          <w:rFonts w:ascii="微软雅黑" w:hAnsi="微软雅黑" w:eastAsia="微软雅黑" w:cs="微软雅黑"/>
          <w:szCs w:val="21"/>
        </w:rPr>
      </w:r>
      <w:r/>
    </w:p>
    <w:p>
      <w:pPr>
        <w:pStyle w:val="1044"/>
        <w:spacing w:line="540" w:lineRule="exact"/>
        <w:rPr>
          <w:rFonts w:ascii="微软雅黑" w:hAnsi="微软雅黑" w:cs="微软雅黑"/>
          <w:szCs w:val="21"/>
          <w:lang w:val="sq-AL"/>
        </w:rPr>
      </w:pPr>
      <w:r>
        <w:rPr>
          <w:rFonts w:ascii="微软雅黑" w:hAnsi="微软雅黑" w:cs="微软雅黑"/>
          <w:szCs w:val="21"/>
          <w:lang w:val="sq-AL"/>
        </w:rPr>
      </w:r>
      <w:r/>
    </w:p>
    <w:p>
      <w:pPr>
        <w:pStyle w:val="1044"/>
        <w:spacing w:line="540" w:lineRule="exact"/>
        <w:rPr>
          <w:rFonts w:ascii="微软雅黑" w:hAnsi="微软雅黑" w:cs="微软雅黑"/>
          <w:szCs w:val="21"/>
          <w:lang w:val="sq-AL"/>
        </w:rPr>
      </w:pPr>
      <w:r>
        <w:rPr>
          <w:rFonts w:ascii="微软雅黑" w:hAnsi="微软雅黑" w:cs="微软雅黑"/>
          <w:szCs w:val="21"/>
          <w:lang w:val="sq-AL"/>
        </w:rPr>
      </w:r>
      <w:r/>
    </w:p>
    <w:p>
      <w:pPr>
        <w:pStyle w:val="1044"/>
        <w:spacing w:line="540" w:lineRule="exact"/>
        <w:rPr>
          <w:rFonts w:ascii="微软雅黑" w:hAnsi="微软雅黑" w:cs="微软雅黑"/>
          <w:szCs w:val="21"/>
          <w:lang w:val="sq-AL"/>
        </w:rPr>
      </w:pPr>
      <w:r>
        <w:rPr>
          <w:rFonts w:ascii="微软雅黑" w:hAnsi="微软雅黑" w:cs="微软雅黑"/>
          <w:szCs w:val="21"/>
          <w:lang w:val="sq-AL"/>
        </w:rPr>
      </w:r>
      <w:r/>
    </w:p>
    <w:p>
      <w:pPr>
        <w:pStyle w:val="1044"/>
        <w:spacing w:line="540" w:lineRule="exact"/>
        <w:rPr>
          <w:rFonts w:ascii="微软雅黑" w:hAnsi="微软雅黑" w:cs="微软雅黑"/>
          <w:szCs w:val="21"/>
          <w:lang w:val="sq-AL"/>
        </w:rPr>
      </w:pPr>
      <w:r>
        <w:rPr>
          <w:rFonts w:hint="eastAsia" w:ascii="微软雅黑" w:hAnsi="微软雅黑" w:cs="微软雅黑"/>
          <w:szCs w:val="21"/>
          <w:lang w:val="sq-AL"/>
        </w:rPr>
        <w:t xml:space="preserve">投标人:</w:t>
      </w:r>
      <w:r>
        <w:rPr>
          <w:rFonts w:hint="eastAsia" w:ascii="微软雅黑" w:hAnsi="微软雅黑" w:cs="微软雅黑"/>
          <w:szCs w:val="21"/>
        </w:rPr>
        <w:t xml:space="preserve">     </w:t>
      </w:r>
      <w:r>
        <w:rPr>
          <w:rFonts w:hint="eastAsia" w:ascii="微软雅黑" w:hAnsi="微软雅黑" w:cs="微软雅黑"/>
          <w:szCs w:val="21"/>
          <w:lang w:val="sq-AL"/>
        </w:rPr>
        <w:t xml:space="preserve">(盖章)</w:t>
      </w:r>
      <w:r>
        <w:rPr>
          <w:rFonts w:ascii="微软雅黑" w:hAnsi="微软雅黑" w:cs="微软雅黑"/>
          <w:szCs w:val="21"/>
          <w:lang w:val="sq-AL"/>
        </w:rPr>
      </w:r>
      <w:r/>
    </w:p>
    <w:p>
      <w:pPr>
        <w:pStyle w:val="1044"/>
        <w:spacing w:line="540" w:lineRule="exact"/>
        <w:rPr>
          <w:rFonts w:ascii="微软雅黑" w:hAnsi="微软雅黑" w:cs="微软雅黑"/>
          <w:szCs w:val="21"/>
        </w:rPr>
      </w:pPr>
      <w:r>
        <w:rPr>
          <w:rFonts w:hint="eastAsia" w:ascii="微软雅黑" w:hAnsi="微软雅黑" w:cs="微软雅黑"/>
          <w:szCs w:val="21"/>
        </w:rPr>
        <w:t xml:space="preserve">法定代表人（或授权委托人）：(签字或盖章)    </w:t>
      </w:r>
      <w:r>
        <w:rPr>
          <w:rFonts w:ascii="微软雅黑" w:hAnsi="微软雅黑" w:cs="微软雅黑"/>
          <w:szCs w:val="21"/>
        </w:rPr>
      </w:r>
      <w:r/>
    </w:p>
    <w:p>
      <w:pPr>
        <w:pStyle w:val="1044"/>
        <w:spacing w:before="4" w:line="420" w:lineRule="exact"/>
        <w:widowControl/>
        <w:rPr>
          <w:rFonts w:ascii="微软雅黑" w:hAnsi="微软雅黑" w:cs="微软雅黑"/>
          <w:sz w:val="24"/>
          <w:szCs w:val="24"/>
        </w:rPr>
      </w:pPr>
      <w:r>
        <w:rPr>
          <w:rFonts w:hint="eastAsia" w:ascii="微软雅黑" w:hAnsi="微软雅黑" w:cs="微软雅黑"/>
          <w:szCs w:val="21"/>
          <w:lang w:val="sq-AL"/>
        </w:rPr>
        <w:t xml:space="preserve">日期</w:t>
      </w:r>
      <w:r>
        <w:rPr>
          <w:rFonts w:hint="eastAsia" w:ascii="微软雅黑" w:hAnsi="微软雅黑" w:cs="微软雅黑"/>
          <w:szCs w:val="21"/>
        </w:rPr>
        <w:t xml:space="preserve">：</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年</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月</w:t>
      </w:r>
      <w:r>
        <w:rPr>
          <w:rFonts w:hint="eastAsia" w:ascii="微软雅黑" w:hAnsi="微软雅黑" w:cs="微软雅黑"/>
          <w:szCs w:val="21"/>
          <w:u w:val="single"/>
          <w:lang w:val="sq-AL"/>
        </w:rPr>
        <w:t xml:space="preserve">     </w:t>
      </w:r>
      <w:r>
        <w:rPr>
          <w:rFonts w:hint="eastAsia" w:ascii="微软雅黑" w:hAnsi="微软雅黑" w:cs="微软雅黑"/>
          <w:szCs w:val="21"/>
          <w:lang w:val="sq-AL"/>
        </w:rPr>
        <w:t xml:space="preserve">日</w:t>
      </w:r>
      <w:r>
        <w:rPr>
          <w:rFonts w:ascii="微软雅黑" w:hAnsi="微软雅黑" w:cs="微软雅黑"/>
          <w:sz w:val="24"/>
          <w:szCs w:val="24"/>
        </w:rPr>
      </w:r>
      <w:r/>
    </w:p>
    <w:p>
      <w:pPr>
        <w:pStyle w:val="1044"/>
        <w:ind w:firstLine="480"/>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44"/>
        <w:ind w:firstLine="480"/>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44"/>
        <w:ind w:firstLine="480"/>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44"/>
        <w:ind w:firstLine="480"/>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44"/>
        <w:ind w:firstLine="480"/>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44"/>
        <w:ind w:firstLine="480"/>
        <w:spacing w:before="19" w:line="420" w:lineRule="exact"/>
        <w:widowControl/>
        <w:rPr>
          <w:rFonts w:ascii="微软雅黑" w:hAnsi="微软雅黑" w:cs="微软雅黑"/>
          <w:b/>
          <w:szCs w:val="21"/>
        </w:rPr>
      </w:pPr>
      <w:r>
        <w:rPr>
          <w:rFonts w:hint="eastAsia" w:ascii="微软雅黑" w:hAnsi="微软雅黑" w:cs="微软雅黑"/>
          <w:b/>
          <w:i/>
          <w:iCs/>
          <w:sz w:val="24"/>
          <w:szCs w:val="24"/>
          <w:u w:val="single"/>
        </w:rPr>
        <w:t xml:space="preserve">注： 1－6项为必须提供的内容，未提供或未按要求提供将不能通过符合性审查。</w:t>
      </w:r>
      <w:r>
        <w:rPr>
          <w:rFonts w:ascii="微软雅黑" w:hAnsi="微软雅黑" w:cs="微软雅黑"/>
          <w:b/>
          <w:szCs w:val="21"/>
        </w:rPr>
      </w:r>
      <w:r/>
    </w:p>
    <w:p>
      <w:pPr>
        <w:pStyle w:val="1046"/>
        <w:rPr>
          <w:rFonts w:hint="eastAsia" w:ascii="微软雅黑" w:hAnsi="微软雅黑" w:cs="微软雅黑"/>
        </w:rPr>
      </w:pPr>
      <w:r>
        <w:rPr>
          <w:rFonts w:hint="eastAsia" w:ascii="微软雅黑" w:hAnsi="微软雅黑" w:cs="微软雅黑"/>
        </w:rPr>
        <w:br w:type="page" w:clear="all"/>
      </w:r>
      <w:bookmarkEnd w:id="289"/>
      <w:r/>
      <w:bookmarkStart w:id="296" w:name="_Toc19002"/>
      <w:r/>
      <w:bookmarkStart w:id="297" w:name="_Toc7939"/>
      <w:r>
        <w:rPr>
          <w:rFonts w:hint="eastAsia" w:ascii="微软雅黑" w:hAnsi="微软雅黑" w:cs="微软雅黑"/>
        </w:rPr>
        <w:t xml:space="preserve">二、相关附表格式</w:t>
      </w:r>
      <w:bookmarkEnd w:id="296"/>
      <w:r/>
      <w:bookmarkEnd w:id="297"/>
      <w:r>
        <w:rPr>
          <w:rFonts w:hint="eastAsia" w:ascii="微软雅黑" w:hAnsi="微软雅黑" w:cs="微软雅黑"/>
        </w:rPr>
      </w:r>
      <w:r/>
    </w:p>
    <w:p>
      <w:pPr>
        <w:pStyle w:val="1047"/>
        <w:rPr>
          <w:rFonts w:hint="eastAsia" w:ascii="微软雅黑" w:hAnsi="微软雅黑" w:cs="微软雅黑"/>
          <w:b/>
          <w:bCs w:val="0"/>
          <w:sz w:val="24"/>
          <w:szCs w:val="24"/>
        </w:rPr>
      </w:pPr>
      <w:r/>
      <w:bookmarkStart w:id="298" w:name="_Toc19727"/>
      <w:r/>
      <w:bookmarkStart w:id="299" w:name="_Toc15819"/>
      <w:r>
        <w:rPr>
          <w:rFonts w:hint="eastAsia" w:ascii="微软雅黑" w:hAnsi="微软雅黑" w:cs="微软雅黑"/>
          <w:b/>
          <w:bCs w:val="0"/>
          <w:sz w:val="24"/>
          <w:szCs w:val="24"/>
        </w:rPr>
        <w:t xml:space="preserve">1.法人授权委托书</w:t>
      </w:r>
      <w:bookmarkEnd w:id="298"/>
      <w:r/>
      <w:bookmarkEnd w:id="299"/>
      <w:r>
        <w:rPr>
          <w:rFonts w:hint="eastAsia" w:ascii="微软雅黑" w:hAnsi="微软雅黑" w:cs="微软雅黑"/>
          <w:b/>
          <w:bCs w:val="0"/>
          <w:sz w:val="24"/>
          <w:szCs w:val="24"/>
        </w:rPr>
      </w:r>
      <w:r/>
    </w:p>
    <w:p>
      <w:pPr>
        <w:pStyle w:val="1044"/>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44"/>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1044"/>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1044"/>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1044"/>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44"/>
                              <w:jc w:val="center"/>
                              <w:spacing w:line="440" w:lineRule="exact"/>
                              <w:rPr>
                                <w:rFonts w:hint="eastAsia"/>
                              </w:rPr>
                            </w:pPr>
                            <w:r>
                              <w:rPr>
                                <w:rFonts w:hint="eastAsia"/>
                              </w:rPr>
                              <w:t xml:space="preserve">授权代表身份证复印件</w:t>
                            </w:r>
                            <w:r>
                              <w:rPr>
                                <w:rFonts w:hint="eastAsia"/>
                              </w:rPr>
                            </w:r>
                            <w:r/>
                          </w:p>
                          <w:p>
                            <w:pPr>
                              <w:pStyle w:val="1044"/>
                              <w:jc w:val="center"/>
                            </w:pPr>
                            <w:r>
                              <w:rPr>
                                <w:rFonts w:hint="eastAsia"/>
                              </w:rPr>
                              <w:t xml:space="preserve">（正反面）</w:t>
                            </w:r>
                            <w:r/>
                          </w:p>
                          <w:p>
                            <w:pPr>
                              <w:pStyle w:val="1044"/>
                            </w:pPr>
                            <w:r/>
                            <w:r/>
                          </w:p>
                        </w:txbxContent>
                      </wps:txbx>
                      <wps:bodyPr wrap="square" upright="1"/>
                    </wps:wsp>
                  </a:graphicData>
                </a:graphic>
              </wp:anchor>
            </w:drawing>
          </mc:Choice>
          <mc:Fallback>
            <w:pict>
              <v:shape id="shape 10" o:spid="_x0000_s10"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44"/>
                        <w:jc w:val="center"/>
                        <w:spacing w:line="440" w:lineRule="exact"/>
                        <w:rPr>
                          <w:rFonts w:hint="eastAsia"/>
                        </w:rPr>
                      </w:pPr>
                      <w:r>
                        <w:rPr>
                          <w:rFonts w:hint="eastAsia"/>
                        </w:rPr>
                        <w:t xml:space="preserve">授权代表身份证复印件</w:t>
                      </w:r>
                      <w:r>
                        <w:rPr>
                          <w:rFonts w:hint="eastAsia"/>
                        </w:rPr>
                      </w:r>
                      <w:r/>
                    </w:p>
                    <w:p>
                      <w:pPr>
                        <w:pStyle w:val="1044"/>
                        <w:jc w:val="center"/>
                      </w:pPr>
                      <w:r>
                        <w:rPr>
                          <w:rFonts w:hint="eastAsia"/>
                        </w:rPr>
                        <w:t xml:space="preserve">（正反面）</w:t>
                      </w:r>
                      <w:r/>
                    </w:p>
                    <w:p>
                      <w:pPr>
                        <w:pStyle w:val="1044"/>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44"/>
                              <w:jc w:val="center"/>
                              <w:spacing w:line="440" w:lineRule="exact"/>
                            </w:pPr>
                            <w:r>
                              <w:rPr>
                                <w:rFonts w:hint="eastAsia"/>
                              </w:rPr>
                              <w:t xml:space="preserve">法定代表人身份证复印件（正反面）</w:t>
                            </w:r>
                            <w:r/>
                          </w:p>
                          <w:p>
                            <w:pPr>
                              <w:pStyle w:val="1044"/>
                            </w:pPr>
                            <w:r/>
                            <w:r/>
                          </w:p>
                          <w:p>
                            <w:pPr>
                              <w:pStyle w:val="1044"/>
                            </w:pPr>
                            <w:r/>
                            <w:r/>
                          </w:p>
                        </w:txbxContent>
                      </wps:txbx>
                      <wps:bodyPr wrap="square" upright="1"/>
                    </wps:wsp>
                  </a:graphicData>
                </a:graphic>
              </wp:anchor>
            </w:drawing>
          </mc:Choice>
          <mc:Fallback>
            <w:pict>
              <v:shape id="shape 11" o:spid="_x0000_s11"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44"/>
                        <w:jc w:val="center"/>
                        <w:spacing w:line="440" w:lineRule="exact"/>
                      </w:pPr>
                      <w:r>
                        <w:rPr>
                          <w:rFonts w:hint="eastAsia"/>
                        </w:rPr>
                        <w:t xml:space="preserve">法定代表人身份证复印件（正反面）</w:t>
                      </w:r>
                      <w:r/>
                    </w:p>
                    <w:p>
                      <w:pPr>
                        <w:pStyle w:val="1044"/>
                      </w:pPr>
                      <w:r/>
                      <w:r/>
                    </w:p>
                    <w:p>
                      <w:pPr>
                        <w:pStyle w:val="1044"/>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r>
      <w:r/>
    </w:p>
    <w:p>
      <w:pPr>
        <w:pStyle w:val="1044"/>
        <w:spacing w:line="440" w:lineRule="exact"/>
        <w:rPr>
          <w:rFonts w:hint="eastAsia" w:ascii="微软雅黑" w:hAnsi="微软雅黑" w:cs="微软雅黑"/>
        </w:rPr>
      </w:pPr>
      <w:r>
        <w:rPr>
          <w:rFonts w:hint="eastAsia" w:ascii="微软雅黑" w:hAnsi="微软雅黑" w:cs="微软雅黑"/>
        </w:rPr>
      </w:r>
      <w:r/>
    </w:p>
    <w:p>
      <w:pPr>
        <w:pStyle w:val="1044"/>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1044"/>
        <w:jc w:val="right"/>
        <w:spacing w:line="440" w:lineRule="exact"/>
        <w:rPr>
          <w:rFonts w:hint="eastAsia" w:ascii="微软雅黑" w:hAnsi="微软雅黑" w:cs="微软雅黑"/>
        </w:rPr>
      </w:pPr>
      <w:r>
        <w:rPr>
          <w:rFonts w:hint="eastAsia" w:ascii="微软雅黑" w:hAnsi="微软雅黑" w:cs="微软雅黑"/>
        </w:rPr>
        <w:t xml:space="preserve">                                 </w:t>
      </w:r>
      <w:r>
        <w:rPr>
          <w:rFonts w:hint="eastAsia" w:ascii="微软雅黑" w:hAnsi="微软雅黑" w:cs="微软雅黑"/>
          <w:b/>
          <w:bCs/>
        </w:rPr>
        <w:t xml:space="preserve">法定代表人：</w:t>
      </w:r>
      <w:r>
        <w:rPr>
          <w:rFonts w:hint="eastAsia" w:ascii="微软雅黑" w:hAnsi="微软雅黑" w:cs="微软雅黑"/>
        </w:rPr>
        <w:t xml:space="preserve">  （签字/盖章） </w:t>
      </w:r>
      <w:r>
        <w:rPr>
          <w:rFonts w:hint="eastAsia" w:ascii="微软雅黑" w:hAnsi="微软雅黑" w:cs="微软雅黑"/>
        </w:rPr>
      </w:r>
      <w:r/>
    </w:p>
    <w:p>
      <w:pPr>
        <w:pStyle w:val="1044"/>
        <w:jc w:val="right"/>
        <w:spacing w:line="440" w:lineRule="exact"/>
        <w:rPr>
          <w:rFonts w:hint="eastAsia" w:ascii="微软雅黑" w:hAnsi="微软雅黑" w:cs="微软雅黑"/>
        </w:rPr>
      </w:pPr>
      <w:r>
        <w:rPr>
          <w:rFonts w:hint="eastAsia" w:ascii="微软雅黑" w:hAnsi="微软雅黑" w:cs="微软雅黑"/>
        </w:rPr>
        <w:t xml:space="preserve">授权代表：  （签字/盖章）   </w:t>
      </w:r>
      <w:r>
        <w:rPr>
          <w:rFonts w:hint="eastAsia" w:ascii="微软雅黑" w:hAnsi="微软雅黑" w:cs="微软雅黑"/>
        </w:rPr>
      </w:r>
      <w:r/>
    </w:p>
    <w:p>
      <w:pPr>
        <w:pStyle w:val="1044"/>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1044"/>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44"/>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备注：</w:t>
      </w:r>
      <w:r>
        <w:rPr>
          <w:rFonts w:hint="eastAsia" w:ascii="微软雅黑" w:hAnsi="微软雅黑" w:cs="微软雅黑"/>
          <w:sz w:val="18"/>
          <w:szCs w:val="18"/>
        </w:rPr>
      </w:r>
      <w:r/>
    </w:p>
    <w:p>
      <w:pPr>
        <w:pStyle w:val="1044"/>
        <w:numPr>
          <w:ilvl w:val="0"/>
          <w:numId w:val="14"/>
        </w:num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供应商授权代表须在投标截止时间前持授权书原件、授权代表身份证件办理签名报到。</w:t>
      </w:r>
      <w:r>
        <w:rPr>
          <w:rFonts w:hint="eastAsia" w:ascii="微软雅黑" w:hAnsi="微软雅黑" w:cs="微软雅黑"/>
          <w:sz w:val="18"/>
          <w:szCs w:val="18"/>
        </w:rPr>
      </w:r>
      <w:r/>
    </w:p>
    <w:p>
      <w:pPr>
        <w:pStyle w:val="1044"/>
        <w:numPr>
          <w:ilvl w:val="0"/>
          <w:numId w:val="14"/>
        </w:num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供应商法定代表人直接参加投标的，无须提供法人授权委托书，但须持本人身份证件及营业执照复印件办理相关手续。</w:t>
      </w:r>
      <w:r>
        <w:rPr>
          <w:rFonts w:hint="eastAsia" w:ascii="微软雅黑" w:hAnsi="微软雅黑" w:cs="微软雅黑"/>
          <w:sz w:val="18"/>
          <w:szCs w:val="18"/>
        </w:rPr>
      </w:r>
      <w:r/>
    </w:p>
    <w:p>
      <w:pPr>
        <w:pStyle w:val="1070"/>
        <w:ind w:left="1260"/>
        <w:rPr>
          <w:rFonts w:hint="eastAsia" w:ascii="微软雅黑" w:hAnsi="微软雅黑" w:cs="微软雅黑"/>
        </w:rPr>
      </w:pPr>
      <w:r>
        <w:rPr>
          <w:rFonts w:hint="eastAsia" w:ascii="微软雅黑" w:hAnsi="微软雅黑" w:cs="微软雅黑"/>
        </w:rPr>
      </w:r>
      <w:r/>
    </w:p>
    <w:p>
      <w:pPr>
        <w:pStyle w:val="1047"/>
        <w:jc w:val="left"/>
        <w:rPr>
          <w:rFonts w:hint="eastAsia" w:ascii="微软雅黑" w:hAnsi="微软雅黑" w:cs="微软雅黑"/>
          <w:b/>
          <w:bCs w:val="0"/>
          <w:sz w:val="24"/>
          <w:szCs w:val="24"/>
        </w:rPr>
      </w:pPr>
      <w:r/>
      <w:bookmarkStart w:id="300" w:name="_Toc9754"/>
      <w:r/>
      <w:bookmarkStart w:id="301" w:name="_Toc9314"/>
      <w:r>
        <w:rPr>
          <w:rFonts w:hint="eastAsia" w:ascii="微软雅黑" w:hAnsi="微软雅黑" w:cs="微软雅黑"/>
          <w:b/>
          <w:bCs w:val="0"/>
          <w:sz w:val="24"/>
          <w:szCs w:val="24"/>
        </w:rPr>
        <w:t xml:space="preserve">2.声明</w:t>
      </w:r>
      <w:bookmarkEnd w:id="300"/>
      <w:r>
        <w:rPr>
          <w:rFonts w:hint="eastAsia" w:ascii="微软雅黑" w:hAnsi="微软雅黑" w:cs="微软雅黑"/>
          <w:b/>
          <w:bCs w:val="0"/>
          <w:sz w:val="24"/>
          <w:szCs w:val="24"/>
        </w:rPr>
        <w:t xml:space="preserve">（参考格式）</w:t>
      </w:r>
      <w:bookmarkEnd w:id="301"/>
      <w:r>
        <w:rPr>
          <w:rFonts w:hint="eastAsia" w:ascii="微软雅黑" w:hAnsi="微软雅黑" w:cs="微软雅黑"/>
          <w:b/>
          <w:bCs w:val="0"/>
          <w:sz w:val="24"/>
          <w:szCs w:val="24"/>
        </w:rPr>
      </w:r>
      <w:r/>
    </w:p>
    <w:p>
      <w:pPr>
        <w:pStyle w:val="1044"/>
        <w:jc w:val="center"/>
        <w:rPr>
          <w:b/>
          <w:bCs/>
          <w:sz w:val="24"/>
          <w:szCs w:val="24"/>
        </w:rPr>
      </w:pPr>
      <w:r>
        <w:rPr>
          <w:rFonts w:hint="eastAsia"/>
          <w:b/>
          <w:bCs/>
          <w:sz w:val="24"/>
          <w:szCs w:val="24"/>
        </w:rPr>
        <w:t xml:space="preserve">声  明</w:t>
      </w:r>
      <w:r>
        <w:rPr>
          <w:b/>
          <w:bCs/>
          <w:sz w:val="24"/>
          <w:szCs w:val="24"/>
        </w:rPr>
      </w:r>
      <w:r/>
    </w:p>
    <w:p>
      <w:pPr>
        <w:pStyle w:val="1044"/>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1044"/>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案件当事主体、政府采购严重违法失信行为当事主体等严重失信记录名单。</w:t>
      </w:r>
      <w:r>
        <w:rPr>
          <w:rFonts w:hint="eastAsia" w:ascii="微软雅黑" w:hAnsi="微软雅黑" w:cs="微软雅黑"/>
          <w:szCs w:val="21"/>
        </w:rPr>
      </w:r>
      <w:r/>
    </w:p>
    <w:p>
      <w:pPr>
        <w:pStyle w:val="1044"/>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44"/>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70"/>
        <w:ind w:left="1260"/>
        <w:rPr>
          <w:rFonts w:hint="eastAsia" w:ascii="微软雅黑" w:hAnsi="微软雅黑" w:cs="微软雅黑"/>
        </w:rPr>
      </w:pPr>
      <w:r>
        <w:rPr>
          <w:rFonts w:hint="eastAsia" w:ascii="微软雅黑" w:hAnsi="微软雅黑" w:cs="微软雅黑"/>
        </w:rPr>
      </w:r>
      <w:r/>
    </w:p>
    <w:p>
      <w:pPr>
        <w:pStyle w:val="1044"/>
        <w:rPr>
          <w:rFonts w:hint="eastAsia" w:ascii="微软雅黑" w:hAnsi="微软雅黑" w:cs="微软雅黑"/>
        </w:rPr>
      </w:pPr>
      <w:r>
        <w:rPr>
          <w:rFonts w:hint="eastAsia" w:ascii="微软雅黑" w:hAnsi="微软雅黑" w:cs="微软雅黑"/>
        </w:rPr>
      </w:r>
      <w:r/>
    </w:p>
    <w:p>
      <w:pPr>
        <w:pStyle w:val="1044"/>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1044"/>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1044"/>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1070"/>
        <w:ind w:left="0"/>
        <w:rPr>
          <w:rFonts w:hint="eastAsia" w:ascii="微软雅黑" w:hAnsi="微软雅黑" w:cs="微软雅黑"/>
          <w:szCs w:val="21"/>
        </w:rPr>
      </w:pPr>
      <w:r>
        <w:rPr>
          <w:rFonts w:hint="eastAsia" w:ascii="微软雅黑" w:hAnsi="微软雅黑" w:cs="微软雅黑"/>
          <w:szCs w:val="21"/>
        </w:rPr>
      </w:r>
      <w:r/>
    </w:p>
    <w:p>
      <w:pPr>
        <w:pStyle w:val="1070"/>
        <w:ind w:left="0"/>
        <w:spacing w:line="400" w:lineRule="exact"/>
        <w:rPr>
          <w:rFonts w:hint="eastAsia" w:ascii="微软雅黑" w:hAnsi="微软雅黑" w:cs="微软雅黑"/>
          <w:b/>
          <w:bCs/>
          <w:szCs w:val="21"/>
        </w:rPr>
      </w:pPr>
      <w:r>
        <w:rPr>
          <w:rFonts w:hint="eastAsia" w:ascii="微软雅黑" w:hAnsi="微软雅黑" w:cs="微软雅黑"/>
          <w:b/>
          <w:bCs/>
          <w:szCs w:val="21"/>
        </w:rPr>
        <w:t xml:space="preserve">注：</w:t>
      </w:r>
      <w:r>
        <w:rPr>
          <w:rFonts w:hint="eastAsia" w:ascii="微软雅黑" w:hAnsi="微软雅黑" w:cs="微软雅黑"/>
          <w:b/>
          <w:bCs/>
          <w:szCs w:val="21"/>
        </w:rPr>
      </w:r>
      <w:r/>
    </w:p>
    <w:p>
      <w:pPr>
        <w:pStyle w:val="1070"/>
        <w:numPr>
          <w:ilvl w:val="0"/>
          <w:numId w:val="15"/>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1044"/>
        <w:numPr>
          <w:ilvl w:val="0"/>
          <w:numId w:val="15"/>
        </w:numPr>
        <w:spacing w:line="400" w:lineRule="exact"/>
        <w:rPr>
          <w:rFonts w:hint="eastAsia" w:ascii="微软雅黑" w:hAnsi="微软雅黑" w:cs="微软雅黑"/>
          <w:b/>
          <w:bCs/>
        </w:rPr>
      </w:pPr>
      <w:r>
        <w:rPr>
          <w:rFonts w:hint="eastAsia" w:ascii="微软雅黑" w:hAnsi="微软雅黑" w:cs="微软雅黑"/>
          <w:b/>
          <w:bCs/>
          <w:spacing w:val="-5"/>
        </w:rPr>
        <w:t xml:space="preserve">代理机构信用信息查询截止时点：投标截止时间24时前。</w:t>
      </w:r>
      <w:r>
        <w:rPr>
          <w:rFonts w:hint="eastAsia" w:ascii="微软雅黑" w:hAnsi="微软雅黑" w:cs="微软雅黑"/>
          <w:b/>
          <w:bCs/>
        </w:rPr>
      </w:r>
      <w:r/>
    </w:p>
    <w:p>
      <w:pPr>
        <w:pStyle w:val="1044"/>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44"/>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44"/>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47"/>
        <w:jc w:val="left"/>
        <w:rPr>
          <w:rFonts w:hint="eastAsia" w:ascii="微软雅黑" w:hAnsi="微软雅黑" w:cs="微软雅黑"/>
          <w:b/>
          <w:bCs w:val="0"/>
          <w:sz w:val="24"/>
          <w:szCs w:val="24"/>
        </w:rPr>
      </w:pPr>
      <w:r>
        <w:rPr>
          <w:rFonts w:hint="eastAsia" w:ascii="微软雅黑" w:hAnsi="微软雅黑" w:cs="微软雅黑"/>
          <w:b/>
          <w:bCs w:val="0"/>
          <w:sz w:val="24"/>
          <w:szCs w:val="24"/>
        </w:rPr>
        <w:br w:type="page" w:clear="all"/>
      </w:r>
      <w:bookmarkStart w:id="304" w:name="_Toc10790"/>
      <w:r>
        <w:rPr>
          <w:rFonts w:hint="eastAsia" w:ascii="微软雅黑" w:hAnsi="微软雅黑" w:cs="微软雅黑"/>
          <w:b/>
          <w:bCs w:val="0"/>
          <w:sz w:val="24"/>
          <w:szCs w:val="24"/>
        </w:rPr>
        <w:t xml:space="preserve">3.承诺（参考格式）</w:t>
      </w:r>
      <w:bookmarkEnd w:id="304"/>
      <w:r>
        <w:rPr>
          <w:rFonts w:hint="eastAsia" w:ascii="微软雅黑" w:hAnsi="微软雅黑" w:cs="微软雅黑"/>
          <w:b/>
          <w:bCs w:val="0"/>
          <w:sz w:val="24"/>
          <w:szCs w:val="24"/>
        </w:rPr>
      </w:r>
      <w:r/>
    </w:p>
    <w:p>
      <w:pPr>
        <w:pStyle w:val="1044"/>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1044"/>
        <w:numPr>
          <w:ilvl w:val="0"/>
          <w:numId w:val="16"/>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hint="eastAsia" w:ascii="微软雅黑" w:hAnsi="微软雅黑" w:cs="微软雅黑"/>
          <w:szCs w:val="21"/>
        </w:rPr>
      </w:r>
      <w:r/>
    </w:p>
    <w:p>
      <w:pPr>
        <w:pStyle w:val="1044"/>
        <w:numPr>
          <w:ilvl w:val="0"/>
          <w:numId w:val="16"/>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（负责人姓名、身份证号），与我单位存在直接控股、管理关系的单位为（单位名称），不存在与我单位负责人为同一人或者存在直接控股、管理关系的不同供应商同时参加本项目同一包投标的情形。</w:t>
      </w:r>
      <w:r>
        <w:rPr>
          <w:rFonts w:hint="eastAsia" w:ascii="微软雅黑" w:hAnsi="微软雅黑" w:cs="微软雅黑"/>
          <w:szCs w:val="21"/>
        </w:rPr>
      </w:r>
      <w:r/>
    </w:p>
    <w:p>
      <w:pPr>
        <w:pStyle w:val="1044"/>
        <w:numPr>
          <w:ilvl w:val="0"/>
          <w:numId w:val="16"/>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rPr>
      </w:r>
      <w:r/>
    </w:p>
    <w:p>
      <w:pPr>
        <w:pStyle w:val="1044"/>
        <w:spacing w:line="440" w:lineRule="exact"/>
        <w:rPr>
          <w:rFonts w:hint="eastAsia" w:ascii="微软雅黑" w:hAnsi="微软雅黑" w:cs="微软雅黑"/>
          <w:szCs w:val="21"/>
        </w:rPr>
      </w:pPr>
      <w:r>
        <w:rPr>
          <w:rFonts w:hint="eastAsia" w:ascii="微软雅黑" w:hAnsi="微软雅黑" w:cs="微软雅黑"/>
          <w:szCs w:val="21"/>
        </w:rPr>
      </w:r>
      <w:r/>
    </w:p>
    <w:p>
      <w:pPr>
        <w:pStyle w:val="1044"/>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1044"/>
        <w:rPr>
          <w:rFonts w:hint="eastAsia" w:ascii="微软雅黑" w:hAnsi="微软雅黑" w:cs="微软雅黑"/>
          <w:bCs/>
          <w:szCs w:val="21"/>
        </w:rPr>
      </w:pPr>
      <w:r>
        <w:rPr>
          <w:rFonts w:hint="eastAsia" w:ascii="微软雅黑" w:hAnsi="微软雅黑" w:cs="微软雅黑"/>
          <w:bCs/>
          <w:szCs w:val="21"/>
        </w:rPr>
      </w:r>
      <w:r/>
    </w:p>
    <w:p>
      <w:pPr>
        <w:pStyle w:val="1065"/>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65"/>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1065"/>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1065"/>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047"/>
        <w:jc w:val="left"/>
        <w:spacing w:line="420" w:lineRule="exact"/>
        <w:rPr>
          <w:rFonts w:hint="eastAsia" w:ascii="微软雅黑" w:hAnsi="微软雅黑" w:cs="微软雅黑"/>
          <w:b/>
          <w:bCs w:val="0"/>
          <w:sz w:val="21"/>
          <w:szCs w:val="21"/>
        </w:rPr>
      </w:pPr>
      <w:r>
        <w:rPr>
          <w:rFonts w:hint="eastAsia" w:ascii="微软雅黑" w:hAnsi="微软雅黑" w:cs="微软雅黑"/>
          <w:b/>
          <w:bCs w:val="0"/>
          <w:sz w:val="21"/>
          <w:szCs w:val="21"/>
        </w:rPr>
      </w:r>
      <w:r/>
    </w:p>
    <w:p>
      <w:pPr>
        <w:pStyle w:val="1047"/>
        <w:jc w:val="both"/>
        <w:spacing w:line="420" w:lineRule="exact"/>
        <w:rPr>
          <w:rFonts w:ascii="微软雅黑" w:hAnsi="微软雅黑" w:cs="微软雅黑"/>
          <w:szCs w:val="21"/>
          <w:lang w:val="zh-CN"/>
        </w:rPr>
      </w:pPr>
      <w:r/>
      <w:bookmarkStart w:id="306" w:name="_Toc10619"/>
      <w:r/>
      <w:bookmarkStart w:id="307" w:name="_Toc13232"/>
      <w:r/>
      <w:bookmarkStart w:id="308" w:name="_Toc25322"/>
      <w:r/>
      <w:bookmarkStart w:id="309" w:name="_Toc7902"/>
      <w:r/>
      <w:bookmarkStart w:id="310" w:name="_Toc3537"/>
      <w:r/>
      <w:bookmarkStart w:id="311" w:name="_Toc10499"/>
      <w:r/>
      <w:bookmarkStart w:id="312" w:name="_Toc5592"/>
      <w:r>
        <w:rPr>
          <w:rFonts w:hint="eastAsia" w:ascii="微软雅黑" w:hAnsi="微软雅黑" w:cs="微软雅黑"/>
          <w:szCs w:val="28"/>
        </w:rPr>
        <w:br w:type="page" w:clear="all"/>
      </w:r>
      <w:bookmarkStart w:id="313" w:name="_Toc13330"/>
      <w:r>
        <w:rPr>
          <w:rFonts w:hint="eastAsia" w:ascii="微软雅黑" w:hAnsi="微软雅黑" w:cs="微软雅黑"/>
          <w:b/>
          <w:sz w:val="24"/>
          <w:szCs w:val="24"/>
        </w:rPr>
        <w:t xml:space="preserve">4.具备履行合同所必需的设备和专业技术能力的声明格式及证明材料</w:t>
      </w:r>
      <w:bookmarkEnd w:id="306"/>
      <w:r/>
      <w:bookmarkEnd w:id="307"/>
      <w:r/>
      <w:bookmarkEnd w:id="308"/>
      <w:r/>
      <w:bookmarkEnd w:id="309"/>
      <w:r/>
      <w:bookmarkEnd w:id="310"/>
      <w:r/>
      <w:bookmarkEnd w:id="311"/>
      <w:r/>
      <w:bookmarkEnd w:id="312"/>
      <w:r/>
      <w:bookmarkEnd w:id="313"/>
      <w:r>
        <w:rPr>
          <w:rFonts w:ascii="微软雅黑" w:hAnsi="微软雅黑" w:cs="微软雅黑"/>
          <w:szCs w:val="21"/>
          <w:lang w:val="zh-CN"/>
        </w:rPr>
      </w:r>
      <w:r/>
    </w:p>
    <w:p>
      <w:pPr>
        <w:pStyle w:val="1044"/>
        <w:spacing w:line="600" w:lineRule="exact"/>
        <w:rPr>
          <w:rFonts w:ascii="微软雅黑" w:hAnsi="微软雅黑" w:cs="微软雅黑"/>
        </w:rPr>
      </w:pPr>
      <w:r>
        <w:rPr>
          <w:rFonts w:hint="eastAsia" w:ascii="微软雅黑" w:hAnsi="微软雅黑" w:cs="微软雅黑"/>
          <w:szCs w:val="21"/>
          <w:u w:val="single"/>
        </w:rPr>
        <w:t xml:space="preserve">南京医科大学</w:t>
      </w:r>
      <w:r>
        <w:rPr>
          <w:rFonts w:hint="eastAsia" w:ascii="微软雅黑" w:hAnsi="微软雅黑" w:cs="微软雅黑"/>
        </w:rPr>
        <w:t xml:space="preserve">：</w:t>
      </w:r>
      <w:r>
        <w:rPr>
          <w:rFonts w:ascii="微软雅黑" w:hAnsi="微软雅黑" w:cs="微软雅黑"/>
        </w:rPr>
      </w:r>
      <w:r/>
    </w:p>
    <w:p>
      <w:pPr>
        <w:pStyle w:val="1044"/>
        <w:ind w:firstLine="492"/>
        <w:spacing w:line="600" w:lineRule="exact"/>
        <w:rPr>
          <w:rFonts w:ascii="微软雅黑" w:hAnsi="微软雅黑" w:cs="微软雅黑"/>
        </w:rPr>
      </w:pPr>
      <w:r>
        <w:rPr>
          <w:rFonts w:hint="eastAsia" w:ascii="微软雅黑" w:hAnsi="微软雅黑" w:cs="微软雅黑"/>
        </w:rPr>
        <w:t xml:space="preserve">我单位（投标人名称）郑重声明：我公司具备履行本项采购合同所必需的设备和专业技术能力，为履行本项采购合同我单位具备如下主要设备和主要专业技术能力：</w:t>
      </w:r>
      <w:r>
        <w:rPr>
          <w:rFonts w:ascii="微软雅黑" w:hAnsi="微软雅黑" w:cs="微软雅黑"/>
        </w:rPr>
      </w:r>
      <w:r/>
    </w:p>
    <w:p>
      <w:pPr>
        <w:pStyle w:val="1044"/>
        <w:ind w:firstLine="492"/>
        <w:spacing w:line="600" w:lineRule="exact"/>
        <w:rPr>
          <w:rFonts w:ascii="微软雅黑" w:hAnsi="微软雅黑" w:cs="微软雅黑"/>
        </w:rPr>
      </w:pPr>
      <w:r>
        <w:rPr>
          <w:rFonts w:hint="eastAsia" w:ascii="微软雅黑" w:hAnsi="微软雅黑" w:cs="微软雅黑"/>
        </w:rPr>
        <w:t xml:space="preserve">主要设备有：</w:t>
      </w:r>
      <w:r>
        <w:rPr>
          <w:rFonts w:hint="eastAsia" w:ascii="微软雅黑" w:hAnsi="微软雅黑" w:cs="微软雅黑"/>
          <w:u w:val="single"/>
        </w:rPr>
        <w:t xml:space="preserve">     </w:t>
      </w:r>
      <w:r>
        <w:rPr>
          <w:rFonts w:hint="eastAsia" w:ascii="微软雅黑" w:hAnsi="微软雅黑" w:cs="微软雅黑"/>
        </w:rPr>
        <w:t xml:space="preserve"> 。</w:t>
      </w:r>
      <w:r>
        <w:rPr>
          <w:rFonts w:ascii="微软雅黑" w:hAnsi="微软雅黑" w:cs="微软雅黑"/>
        </w:rPr>
      </w:r>
      <w:r/>
    </w:p>
    <w:p>
      <w:pPr>
        <w:pStyle w:val="1044"/>
        <w:ind w:firstLine="492"/>
        <w:spacing w:line="600" w:lineRule="exact"/>
        <w:rPr>
          <w:rFonts w:ascii="微软雅黑" w:hAnsi="微软雅黑" w:cs="微软雅黑"/>
        </w:rPr>
      </w:pPr>
      <w:r>
        <w:rPr>
          <w:rFonts w:hint="eastAsia" w:ascii="微软雅黑" w:hAnsi="微软雅黑" w:cs="微软雅黑"/>
        </w:rPr>
        <w:t xml:space="preserve">主要专业技术能力有：</w:t>
      </w:r>
      <w:r>
        <w:rPr>
          <w:rFonts w:hint="eastAsia" w:ascii="微软雅黑" w:hAnsi="微软雅黑" w:cs="微软雅黑"/>
          <w:u w:val="single"/>
        </w:rPr>
        <w:t xml:space="preserve">     </w:t>
      </w:r>
      <w:r>
        <w:rPr>
          <w:rFonts w:hint="eastAsia" w:ascii="微软雅黑" w:hAnsi="微软雅黑" w:cs="微软雅黑"/>
        </w:rPr>
        <w:t xml:space="preserve">。（若有）</w:t>
      </w:r>
      <w:r>
        <w:rPr>
          <w:rFonts w:ascii="微软雅黑" w:hAnsi="微软雅黑" w:cs="微软雅黑"/>
        </w:rPr>
      </w:r>
      <w:r/>
    </w:p>
    <w:p>
      <w:pPr>
        <w:pStyle w:val="1044"/>
        <w:spacing w:line="600" w:lineRule="exact"/>
        <w:rPr>
          <w:rFonts w:ascii="微软雅黑" w:hAnsi="微软雅黑" w:cs="微软雅黑"/>
        </w:rPr>
      </w:pPr>
      <w:r>
        <w:rPr>
          <w:rFonts w:ascii="微软雅黑" w:hAnsi="微软雅黑" w:cs="微软雅黑"/>
        </w:rPr>
      </w:r>
      <w:r/>
    </w:p>
    <w:p>
      <w:pPr>
        <w:pStyle w:val="1044"/>
        <w:jc w:val="center"/>
        <w:spacing w:line="600" w:lineRule="exact"/>
        <w:rPr>
          <w:rFonts w:ascii="微软雅黑" w:hAnsi="微软雅黑" w:cs="微软雅黑"/>
        </w:rPr>
      </w:pPr>
      <w:r>
        <w:rPr>
          <w:rFonts w:hint="eastAsia" w:ascii="微软雅黑" w:hAnsi="微软雅黑" w:cs="微软雅黑"/>
        </w:rPr>
        <w:t xml:space="preserve">                           声明人：（公章）</w:t>
      </w:r>
      <w:r>
        <w:rPr>
          <w:rFonts w:ascii="微软雅黑" w:hAnsi="微软雅黑" w:cs="微软雅黑"/>
        </w:rPr>
      </w:r>
      <w:r/>
    </w:p>
    <w:p>
      <w:pPr>
        <w:pStyle w:val="1044"/>
        <w:jc w:val="center"/>
        <w:spacing w:line="600" w:lineRule="exact"/>
        <w:rPr>
          <w:rFonts w:ascii="微软雅黑" w:hAnsi="微软雅黑" w:cs="微软雅黑"/>
        </w:rPr>
      </w:pPr>
      <w:r>
        <w:rPr>
          <w:rFonts w:hint="eastAsia" w:ascii="微软雅黑" w:hAnsi="微软雅黑" w:cs="微软雅黑"/>
        </w:rPr>
        <w:t xml:space="preserve">                          年   月   日</w:t>
      </w:r>
      <w:r>
        <w:rPr>
          <w:rFonts w:ascii="微软雅黑" w:hAnsi="微软雅黑" w:cs="微软雅黑"/>
        </w:rPr>
      </w:r>
      <w:r/>
    </w:p>
    <w:p>
      <w:pPr>
        <w:pStyle w:val="1044"/>
        <w:spacing w:line="600" w:lineRule="exact"/>
        <w:rPr>
          <w:rFonts w:ascii="微软雅黑" w:hAnsi="微软雅黑" w:cs="微软雅黑"/>
        </w:rPr>
      </w:pPr>
      <w:r>
        <w:rPr>
          <w:rFonts w:ascii="微软雅黑" w:hAnsi="微软雅黑" w:cs="微软雅黑"/>
        </w:rPr>
      </w:r>
      <w:r/>
    </w:p>
    <w:p>
      <w:pPr>
        <w:pStyle w:val="1070"/>
        <w:ind w:left="1260"/>
        <w:rPr>
          <w:rFonts w:ascii="微软雅黑" w:hAnsi="微软雅黑" w:cs="微软雅黑"/>
          <w:sz w:val="24"/>
          <w:szCs w:val="24"/>
        </w:rPr>
      </w:pPr>
      <w:r>
        <w:rPr>
          <w:rFonts w:hint="eastAsia" w:ascii="微软雅黑" w:hAnsi="微软雅黑" w:cs="微软雅黑"/>
        </w:rPr>
        <w:t xml:space="preserve">其他证明材料及文件：（如果投标人认为需要提供的话）</w:t>
      </w:r>
      <w:r>
        <w:rPr>
          <w:rFonts w:ascii="微软雅黑" w:hAnsi="微软雅黑" w:cs="微软雅黑"/>
          <w:sz w:val="24"/>
          <w:szCs w:val="24"/>
        </w:rPr>
      </w:r>
      <w:r/>
    </w:p>
    <w:p>
      <w:pPr>
        <w:pStyle w:val="1044"/>
        <w:spacing w:line="420" w:lineRule="exact"/>
        <w:rPr>
          <w:rFonts w:ascii="微软雅黑" w:hAnsi="微软雅黑" w:cs="微软雅黑"/>
          <w:sz w:val="24"/>
          <w:szCs w:val="24"/>
        </w:rPr>
      </w:pPr>
      <w:r>
        <w:rPr>
          <w:rFonts w:ascii="微软雅黑" w:hAnsi="微软雅黑" w:cs="微软雅黑"/>
          <w:sz w:val="24"/>
          <w:szCs w:val="24"/>
        </w:rPr>
      </w:r>
      <w:r/>
    </w:p>
    <w:p>
      <w:pPr>
        <w:pStyle w:val="1070"/>
        <w:ind w:left="1260"/>
        <w:rPr>
          <w:rFonts w:ascii="微软雅黑" w:hAnsi="微软雅黑" w:cs="微软雅黑"/>
          <w:sz w:val="24"/>
          <w:szCs w:val="24"/>
        </w:rPr>
      </w:pPr>
      <w:r>
        <w:rPr>
          <w:rFonts w:ascii="微软雅黑" w:hAnsi="微软雅黑" w:cs="微软雅黑"/>
          <w:sz w:val="24"/>
          <w:szCs w:val="24"/>
        </w:rPr>
      </w:r>
      <w:r/>
    </w:p>
    <w:p>
      <w:pPr>
        <w:pStyle w:val="1044"/>
        <w:rPr>
          <w:rFonts w:ascii="微软雅黑" w:hAnsi="微软雅黑" w:cs="微软雅黑"/>
          <w:sz w:val="24"/>
          <w:szCs w:val="24"/>
        </w:rPr>
      </w:pPr>
      <w:r>
        <w:rPr>
          <w:rFonts w:ascii="微软雅黑" w:hAnsi="微软雅黑" w:cs="微软雅黑"/>
          <w:sz w:val="24"/>
          <w:szCs w:val="24"/>
        </w:rPr>
      </w:r>
      <w:r/>
    </w:p>
    <w:p>
      <w:pPr>
        <w:pStyle w:val="1070"/>
        <w:ind w:left="1260"/>
        <w:rPr>
          <w:rFonts w:ascii="微软雅黑" w:hAnsi="微软雅黑" w:cs="微软雅黑"/>
          <w:sz w:val="24"/>
          <w:szCs w:val="24"/>
        </w:rPr>
      </w:pPr>
      <w:r>
        <w:rPr>
          <w:rFonts w:ascii="微软雅黑" w:hAnsi="微软雅黑" w:cs="微软雅黑"/>
          <w:sz w:val="24"/>
          <w:szCs w:val="24"/>
        </w:rPr>
      </w:r>
      <w:r/>
    </w:p>
    <w:p>
      <w:pPr>
        <w:pStyle w:val="1044"/>
        <w:rPr>
          <w:rFonts w:ascii="微软雅黑" w:hAnsi="微软雅黑" w:cs="微软雅黑"/>
          <w:sz w:val="24"/>
          <w:szCs w:val="24"/>
        </w:rPr>
      </w:pPr>
      <w:r>
        <w:rPr>
          <w:rFonts w:ascii="微软雅黑" w:hAnsi="微软雅黑" w:cs="微软雅黑"/>
          <w:sz w:val="24"/>
          <w:szCs w:val="24"/>
        </w:rPr>
      </w:r>
      <w:r/>
    </w:p>
    <w:p>
      <w:pPr>
        <w:pStyle w:val="1070"/>
        <w:ind w:left="1260"/>
        <w:rPr>
          <w:rFonts w:ascii="微软雅黑" w:hAnsi="微软雅黑" w:cs="微软雅黑"/>
          <w:sz w:val="24"/>
          <w:szCs w:val="24"/>
        </w:rPr>
      </w:pPr>
      <w:r>
        <w:rPr>
          <w:rFonts w:ascii="微软雅黑" w:hAnsi="微软雅黑" w:cs="微软雅黑"/>
          <w:sz w:val="24"/>
          <w:szCs w:val="24"/>
        </w:rPr>
      </w:r>
      <w:r/>
    </w:p>
    <w:p>
      <w:pPr>
        <w:pStyle w:val="1044"/>
        <w:rPr>
          <w:rFonts w:ascii="微软雅黑" w:hAnsi="微软雅黑" w:cs="微软雅黑"/>
          <w:sz w:val="24"/>
          <w:szCs w:val="24"/>
        </w:rPr>
      </w:pPr>
      <w:r>
        <w:rPr>
          <w:rFonts w:ascii="微软雅黑" w:hAnsi="微软雅黑" w:cs="微软雅黑"/>
          <w:sz w:val="24"/>
          <w:szCs w:val="24"/>
        </w:rPr>
      </w:r>
      <w:r/>
    </w:p>
    <w:p>
      <w:pPr>
        <w:pStyle w:val="1070"/>
        <w:ind w:left="1260"/>
        <w:rPr>
          <w:rFonts w:ascii="微软雅黑" w:hAnsi="微软雅黑" w:cs="微软雅黑"/>
          <w:sz w:val="24"/>
          <w:szCs w:val="24"/>
        </w:rPr>
      </w:pPr>
      <w:r>
        <w:rPr>
          <w:rFonts w:ascii="微软雅黑" w:hAnsi="微软雅黑" w:cs="微软雅黑"/>
          <w:sz w:val="24"/>
          <w:szCs w:val="24"/>
        </w:rPr>
      </w:r>
      <w:r/>
    </w:p>
    <w:p>
      <w:pPr>
        <w:pStyle w:val="1047"/>
        <w:jc w:val="both"/>
        <w:spacing w:line="420" w:lineRule="exact"/>
        <w:rPr>
          <w:rFonts w:hint="eastAsia" w:ascii="微软雅黑" w:hAnsi="微软雅黑" w:cs="微软雅黑"/>
          <w:b/>
          <w:sz w:val="24"/>
          <w:szCs w:val="24"/>
        </w:rPr>
      </w:pPr>
      <w:r/>
      <w:bookmarkStart w:id="314" w:name="_Toc15149"/>
      <w:r/>
      <w:bookmarkStart w:id="315" w:name="_Toc21869"/>
      <w:r/>
      <w:bookmarkStart w:id="316" w:name="_Toc3734"/>
      <w:r>
        <w:rPr>
          <w:rFonts w:hint="eastAsia" w:ascii="微软雅黑" w:hAnsi="微软雅黑" w:cs="微软雅黑"/>
          <w:b/>
          <w:sz w:val="24"/>
          <w:szCs w:val="24"/>
        </w:rPr>
      </w:r>
      <w:r/>
    </w:p>
    <w:p>
      <w:pPr>
        <w:pStyle w:val="1047"/>
        <w:jc w:val="both"/>
        <w:spacing w:line="420" w:lineRule="exact"/>
        <w:rPr>
          <w:rFonts w:hint="eastAsia" w:ascii="微软雅黑" w:hAnsi="微软雅黑" w:cs="微软雅黑"/>
          <w:b/>
          <w:sz w:val="24"/>
          <w:szCs w:val="24"/>
        </w:rPr>
      </w:pPr>
      <w:r>
        <w:rPr>
          <w:rFonts w:hint="eastAsia" w:ascii="微软雅黑" w:hAnsi="微软雅黑" w:cs="微软雅黑"/>
          <w:b/>
          <w:sz w:val="24"/>
          <w:szCs w:val="24"/>
        </w:rPr>
        <w:br w:type="page" w:clear="all"/>
      </w:r>
      <w:bookmarkStart w:id="317" w:name="_Toc18772"/>
      <w:r>
        <w:rPr>
          <w:rFonts w:hint="eastAsia" w:ascii="微软雅黑" w:hAnsi="微软雅黑" w:cs="微软雅黑"/>
          <w:b/>
          <w:sz w:val="24"/>
          <w:szCs w:val="24"/>
        </w:rPr>
        <w:t xml:space="preserve">附件1.中小企业声明函</w:t>
      </w:r>
      <w:bookmarkEnd w:id="314"/>
      <w:r/>
      <w:bookmarkEnd w:id="315"/>
      <w:r/>
      <w:bookmarkEnd w:id="316"/>
      <w:r/>
      <w:bookmarkEnd w:id="317"/>
      <w:r>
        <w:rPr>
          <w:rFonts w:hint="eastAsia" w:ascii="微软雅黑" w:hAnsi="微软雅黑" w:cs="微软雅黑"/>
          <w:b/>
          <w:sz w:val="24"/>
          <w:szCs w:val="24"/>
        </w:rPr>
      </w:r>
      <w:r/>
    </w:p>
    <w:p>
      <w:pPr>
        <w:pStyle w:val="1044"/>
        <w:spacing w:line="440" w:lineRule="exact"/>
        <w:rPr>
          <w:rFonts w:ascii="微软雅黑" w:hAnsi="微软雅黑" w:cs="微软雅黑"/>
          <w:szCs w:val="28"/>
        </w:rPr>
      </w:pPr>
      <w:r>
        <w:rPr>
          <w:rFonts w:hint="eastAsia"/>
        </w:rPr>
        <w:t xml:space="preserve">（如不属于中小企业，则无需提供此声明函）</w:t>
      </w:r>
      <w:r>
        <w:rPr>
          <w:rFonts w:ascii="微软雅黑" w:hAnsi="微软雅黑" w:cs="微软雅黑"/>
          <w:szCs w:val="28"/>
        </w:rPr>
      </w:r>
      <w:r/>
    </w:p>
    <w:p>
      <w:pPr>
        <w:pStyle w:val="1044"/>
        <w:jc w:val="center"/>
        <w:spacing w:line="440" w:lineRule="exact"/>
        <w:rPr>
          <w:rFonts w:ascii="Calibri" w:hAnsi="Calibri"/>
          <w:b/>
          <w:bCs/>
          <w:sz w:val="24"/>
          <w:szCs w:val="32"/>
        </w:rPr>
      </w:pPr>
      <w:r>
        <w:rPr>
          <w:rFonts w:hint="eastAsia" w:ascii="Calibri" w:hAnsi="Calibri"/>
          <w:b/>
          <w:bCs/>
          <w:sz w:val="24"/>
          <w:szCs w:val="32"/>
        </w:rPr>
        <w:t xml:space="preserve">中小企业声明函</w:t>
      </w:r>
      <w:r>
        <w:rPr>
          <w:rFonts w:ascii="Calibri" w:hAnsi="Calibri"/>
          <w:b/>
          <w:bCs/>
          <w:sz w:val="24"/>
          <w:szCs w:val="32"/>
        </w:rPr>
      </w:r>
      <w:r/>
    </w:p>
    <w:p>
      <w:pPr>
        <w:pStyle w:val="1044"/>
        <w:spacing w:line="440" w:lineRule="exact"/>
        <w:rPr>
          <w:rFonts w:ascii="微软雅黑" w:hAnsi="微软雅黑" w:cs="微软雅黑"/>
        </w:rPr>
      </w:pPr>
      <w:r>
        <w:rPr>
          <w:rFonts w:hint="eastAsia" w:ascii="微软雅黑" w:hAnsi="微软雅黑" w:cs="微软雅黑"/>
        </w:rPr>
        <w:t xml:space="preserve">本公司（联合体）郑重声明，根据《政府采购促进中小企业发展管理办法》（财库﹝2020﹞46号）的规定，本公司（联合体）参加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微软雅黑" w:hAnsi="微软雅黑" w:cs="微软雅黑"/>
        </w:rPr>
      </w:r>
      <w:r/>
    </w:p>
    <w:p>
      <w:pPr>
        <w:pStyle w:val="1044"/>
        <w:ind w:left="105" w:firstLine="420"/>
        <w:spacing w:line="440" w:lineRule="exact"/>
        <w:rPr>
          <w:rFonts w:ascii="微软雅黑" w:hAnsi="微软雅黑" w:cs="微软雅黑"/>
        </w:rPr>
      </w:pPr>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         </w:t>
      </w:r>
      <w:r>
        <w:rPr>
          <w:rFonts w:hint="eastAsia" w:ascii="微软雅黑" w:hAnsi="微软雅黑" w:cs="微软雅黑"/>
          <w:u w:val="single"/>
        </w:rPr>
        <w:t xml:space="preserve">（采购文件中明确的所属行业）</w:t>
      </w:r>
      <w:r>
        <w:rPr>
          <w:rFonts w:hint="eastAsia" w:ascii="微软雅黑" w:hAnsi="微软雅黑" w:cs="微软雅黑"/>
        </w:rPr>
        <w:t xml:space="preserve">；承建（承接）企业为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人</w:t>
      </w:r>
      <w:r>
        <w:rPr>
          <w:rFonts w:hint="eastAsia" w:ascii="微软雅黑" w:hAnsi="微软雅黑" w:cs="微软雅黑"/>
        </w:rPr>
        <w:t xml:space="preserve">，营业收入为</w:t>
      </w:r>
      <w:r>
        <w:rPr>
          <w:rFonts w:hint="eastAsia" w:ascii="微软雅黑" w:hAnsi="微软雅黑" w:cs="微软雅黑"/>
          <w:u w:val="single"/>
        </w:rPr>
        <w:t xml:space="preserve">   万</w:t>
      </w:r>
      <w:r>
        <w:rPr>
          <w:rFonts w:hint="eastAsia" w:ascii="微软雅黑" w:hAnsi="微软雅黑" w:cs="微软雅黑"/>
        </w:rPr>
        <w:t xml:space="preserve">元，资产总额为</w:t>
      </w:r>
      <w:r>
        <w:rPr>
          <w:rFonts w:hint="eastAsia" w:ascii="微软雅黑" w:hAnsi="微软雅黑" w:cs="微软雅黑"/>
          <w:u w:val="single"/>
        </w:rPr>
        <w:t xml:space="preserve">   万元</w:t>
      </w:r>
      <w:r>
        <w:rPr>
          <w:rFonts w:hint="eastAsia" w:ascii="微软雅黑" w:hAnsi="微软雅黑" w:cs="微软雅黑"/>
          <w:b/>
          <w:bCs/>
          <w:sz w:val="28"/>
          <w:szCs w:val="28"/>
        </w:rPr>
        <w:t xml:space="preserve">¹</w:t>
      </w:r>
      <w:r>
        <w:rPr>
          <w:rFonts w:hint="eastAsia" w:ascii="微软雅黑" w:hAnsi="微软雅黑" w:cs="微软雅黑"/>
        </w:rPr>
        <w:t xml:space="preserve">，属于</w:t>
      </w:r>
      <w:r>
        <w:rPr>
          <w:rFonts w:hint="eastAsia" w:ascii="微软雅黑" w:hAnsi="微软雅黑" w:cs="微软雅黑"/>
          <w:u w:val="single"/>
        </w:rPr>
        <w:t xml:space="preserve">      （中型企业、 小型企业、微型企业）</w:t>
      </w:r>
      <w:r>
        <w:rPr>
          <w:rFonts w:hint="eastAsia" w:ascii="微软雅黑" w:hAnsi="微软雅黑" w:cs="微软雅黑"/>
        </w:rPr>
        <w:t xml:space="preserve">； </w:t>
      </w:r>
      <w:r>
        <w:rPr>
          <w:rFonts w:ascii="微软雅黑" w:hAnsi="微软雅黑" w:cs="微软雅黑"/>
        </w:rPr>
      </w:r>
      <w:r/>
    </w:p>
    <w:p>
      <w:pPr>
        <w:pStyle w:val="1044"/>
        <w:ind w:left="105" w:firstLine="420"/>
        <w:spacing w:line="440" w:lineRule="exact"/>
        <w:rPr>
          <w:rFonts w:ascii="微软雅黑" w:hAnsi="微软雅黑" w:cs="微软雅黑"/>
        </w:rPr>
      </w:pPr>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         </w:t>
      </w:r>
      <w:r>
        <w:rPr>
          <w:rFonts w:hint="eastAsia" w:ascii="微软雅黑" w:hAnsi="微软雅黑" w:cs="微软雅黑"/>
          <w:u w:val="single"/>
        </w:rPr>
        <w:t xml:space="preserve">（采购文件中明确的所属行业）</w:t>
      </w:r>
      <w:r>
        <w:rPr>
          <w:rFonts w:hint="eastAsia" w:ascii="微软雅黑" w:hAnsi="微软雅黑" w:cs="微软雅黑"/>
        </w:rPr>
        <w:t xml:space="preserve">； 承建（承接）企业为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人</w:t>
      </w:r>
      <w:r>
        <w:rPr>
          <w:rFonts w:hint="eastAsia" w:ascii="微软雅黑" w:hAnsi="微软雅黑" w:cs="微软雅黑"/>
        </w:rPr>
        <w:t xml:space="preserve">，营业收入为</w:t>
      </w:r>
      <w:r>
        <w:rPr>
          <w:rFonts w:hint="eastAsia" w:ascii="微软雅黑" w:hAnsi="微软雅黑" w:cs="微软雅黑"/>
          <w:u w:val="single"/>
        </w:rPr>
        <w:t xml:space="preserve">   万元</w:t>
      </w:r>
      <w:r>
        <w:rPr>
          <w:rFonts w:hint="eastAsia" w:ascii="微软雅黑" w:hAnsi="微软雅黑" w:cs="微软雅黑"/>
        </w:rPr>
        <w:t xml:space="preserve">，资产总额为</w:t>
      </w:r>
      <w:r>
        <w:rPr>
          <w:rFonts w:hint="eastAsia" w:ascii="微软雅黑" w:hAnsi="微软雅黑" w:cs="微软雅黑"/>
          <w:u w:val="single"/>
        </w:rPr>
        <w:t xml:space="preserve">   万元</w:t>
      </w:r>
      <w:r>
        <w:rPr>
          <w:rFonts w:hint="eastAsia" w:ascii="微软雅黑" w:hAnsi="微软雅黑" w:cs="微软雅黑"/>
        </w:rPr>
        <w:t xml:space="preserve">，属于</w:t>
      </w:r>
      <w:r>
        <w:rPr>
          <w:rFonts w:hint="eastAsia" w:ascii="微软雅黑" w:hAnsi="微软雅黑" w:cs="微软雅黑"/>
          <w:u w:val="single"/>
        </w:rPr>
        <w:t xml:space="preserve">       （中型企业、 小型企业、微型企业）</w:t>
      </w:r>
      <w:r>
        <w:rPr>
          <w:rFonts w:hint="eastAsia" w:ascii="微软雅黑" w:hAnsi="微软雅黑" w:cs="微软雅黑"/>
        </w:rPr>
        <w:t xml:space="preserve">；</w:t>
      </w:r>
      <w:r>
        <w:rPr>
          <w:rFonts w:ascii="微软雅黑" w:hAnsi="微软雅黑" w:cs="微软雅黑"/>
        </w:rPr>
      </w:r>
      <w:r/>
    </w:p>
    <w:p>
      <w:pPr>
        <w:pStyle w:val="1044"/>
        <w:ind w:left="105"/>
        <w:spacing w:line="440" w:lineRule="exact"/>
        <w:rPr>
          <w:rFonts w:ascii="微软雅黑" w:hAnsi="微软雅黑" w:cs="微软雅黑"/>
        </w:rPr>
      </w:pPr>
      <w:r>
        <w:rPr>
          <w:rFonts w:hint="eastAsia" w:ascii="微软雅黑" w:hAnsi="微软雅黑" w:cs="微软雅黑"/>
        </w:rPr>
        <w:t xml:space="preserve">   …… </w:t>
      </w:r>
      <w:r>
        <w:rPr>
          <w:rFonts w:ascii="微软雅黑" w:hAnsi="微软雅黑" w:cs="微软雅黑"/>
        </w:rPr>
      </w:r>
      <w:r/>
    </w:p>
    <w:p>
      <w:pPr>
        <w:pStyle w:val="1044"/>
        <w:ind w:left="105" w:firstLine="420"/>
        <w:spacing w:line="440" w:lineRule="exact"/>
        <w:rPr>
          <w:rFonts w:ascii="微软雅黑" w:hAnsi="微软雅黑" w:cs="微软雅黑"/>
        </w:rPr>
      </w:pPr>
      <w:r>
        <w:rPr>
          <w:rFonts w:hint="eastAsia" w:ascii="微软雅黑" w:hAnsi="微软雅黑" w:cs="微软雅黑"/>
        </w:rPr>
        <w:t xml:space="preserve">以上企业，不属于大企业的分支机构，不存在控股股东为大企业的情形，也不存在与大企业的负责人为同一人的情形。</w:t>
      </w:r>
      <w:r>
        <w:rPr>
          <w:rFonts w:ascii="微软雅黑" w:hAnsi="微软雅黑" w:cs="微软雅黑"/>
        </w:rPr>
      </w:r>
      <w:r/>
    </w:p>
    <w:p>
      <w:pPr>
        <w:pStyle w:val="1044"/>
        <w:ind w:left="105" w:firstLine="420"/>
        <w:spacing w:line="440" w:lineRule="exact"/>
        <w:rPr>
          <w:rFonts w:ascii="微软雅黑" w:hAnsi="微软雅黑" w:cs="微软雅黑"/>
        </w:rPr>
      </w:pPr>
      <w:r>
        <w:rPr>
          <w:rFonts w:hint="eastAsia" w:ascii="微软雅黑" w:hAnsi="微软雅黑" w:cs="微软雅黑"/>
        </w:rPr>
        <w:t xml:space="preserve"> 本企业对上述声明内容的真实性负责。如有虚假，将依法承担相应责任。 </w:t>
      </w:r>
      <w:r>
        <w:rPr>
          <w:rFonts w:ascii="微软雅黑" w:hAnsi="微软雅黑" w:cs="微软雅黑"/>
        </w:rPr>
      </w:r>
      <w:r/>
    </w:p>
    <w:p>
      <w:pPr>
        <w:pStyle w:val="1044"/>
        <w:jc w:val="right"/>
        <w:spacing w:line="440" w:lineRule="exact"/>
        <w:rPr>
          <w:rFonts w:ascii="宋体" w:hAnsi="宋体" w:eastAsia="宋体" w:cs="宋体"/>
          <w:sz w:val="24"/>
          <w:szCs w:val="24"/>
        </w:rPr>
      </w:pPr>
      <w:r>
        <w:rPr>
          <w:rFonts w:ascii="宋体" w:hAnsi="宋体" w:eastAsia="宋体" w:cs="宋体"/>
          <w:sz w:val="24"/>
          <w:szCs w:val="24"/>
        </w:rPr>
      </w:r>
      <w:r/>
    </w:p>
    <w:p>
      <w:pPr>
        <w:pStyle w:val="1044"/>
        <w:jc w:val="right"/>
        <w:spacing w:line="440" w:lineRule="exact"/>
        <w:rPr>
          <w:rFonts w:ascii="微软雅黑" w:hAnsi="微软雅黑" w:cs="微软雅黑"/>
          <w:szCs w:val="21"/>
        </w:rPr>
      </w:pPr>
      <w:r>
        <w:rPr>
          <w:rFonts w:hint="eastAsia" w:ascii="微软雅黑" w:hAnsi="微软雅黑" w:cs="微软雅黑"/>
          <w:szCs w:val="21"/>
        </w:rPr>
        <w:t xml:space="preserve">企业名称（盖章）：</w:t>
      </w:r>
      <w:r>
        <w:rPr>
          <w:rFonts w:ascii="微软雅黑" w:hAnsi="微软雅黑" w:cs="微软雅黑"/>
          <w:szCs w:val="21"/>
        </w:rPr>
      </w:r>
      <w:r/>
    </w:p>
    <w:p>
      <w:pPr>
        <w:pStyle w:val="1044"/>
        <w:jc w:val="right"/>
        <w:spacing w:line="440" w:lineRule="exact"/>
        <w:rPr>
          <w:rFonts w:ascii="微软雅黑" w:hAnsi="微软雅黑" w:cs="微软雅黑"/>
          <w:szCs w:val="21"/>
        </w:rPr>
      </w:pPr>
      <w:r>
        <w:rPr>
          <w:rFonts w:hint="eastAsia" w:ascii="微软雅黑" w:hAnsi="微软雅黑" w:cs="微软雅黑"/>
          <w:szCs w:val="21"/>
        </w:rPr>
        <w:t xml:space="preserve"> 日 期：</w:t>
      </w:r>
      <w:r>
        <w:rPr>
          <w:rFonts w:ascii="微软雅黑" w:hAnsi="微软雅黑" w:cs="微软雅黑"/>
          <w:szCs w:val="21"/>
        </w:rPr>
      </w:r>
      <w:r/>
    </w:p>
    <w:p>
      <w:pPr>
        <w:pStyle w:val="1044"/>
        <w:rPr>
          <w:rFonts w:ascii="宋体" w:hAnsi="宋体" w:eastAsia="宋体" w:cs="宋体"/>
          <w:sz w:val="24"/>
          <w:szCs w:val="24"/>
        </w:rPr>
      </w:pPr>
      <w:r>
        <w:rPr>
          <w:rFonts w:ascii="宋体" w:hAnsi="宋体" w:eastAsia="宋体" w:cs="宋体"/>
          <w:sz w:val="24"/>
          <w:szCs w:val="24"/>
        </w:rPr>
      </w:r>
      <w:r/>
    </w:p>
    <w:p>
      <w:pPr>
        <w:pStyle w:val="1044"/>
        <w:rPr>
          <w:rFonts w:ascii="微软雅黑" w:hAnsi="微软雅黑" w:cs="微软雅黑"/>
          <w:sz w:val="18"/>
          <w:szCs w:val="18"/>
        </w:rPr>
      </w:pPr>
      <w:r>
        <w:rPr>
          <w:rFonts w:ascii="微软雅黑" w:hAnsi="微软雅黑" w:cs="微软雅黑"/>
          <w:sz w:val="18"/>
          <w:szCs w:val="18"/>
        </w:rPr>
      </w:r>
      <w:r/>
    </w:p>
    <w:p>
      <w:pPr>
        <w:pStyle w:val="1044"/>
      </w:pPr>
      <w:r>
        <w:rPr>
          <w:rFonts w:hint="eastAsia" w:ascii="微软雅黑" w:hAnsi="微软雅黑" w:cs="微软雅黑"/>
          <w:sz w:val="18"/>
          <w:szCs w:val="18"/>
        </w:rPr>
        <w:t xml:space="preserve">注：</w:t>
      </w:r>
      <w:r>
        <w:rPr>
          <w:rFonts w:hint="eastAsia" w:ascii="微软雅黑" w:hAnsi="微软雅黑" w:cs="微软雅黑"/>
          <w:b/>
          <w:bCs/>
          <w:sz w:val="28"/>
          <w:szCs w:val="28"/>
        </w:rPr>
        <w:t xml:space="preserve">¹</w:t>
      </w:r>
      <w:r>
        <w:rPr>
          <w:rFonts w:hint="eastAsia" w:ascii="微软雅黑" w:hAnsi="微软雅黑" w:cs="微软雅黑"/>
          <w:sz w:val="18"/>
          <w:szCs w:val="18"/>
        </w:rPr>
        <w:t xml:space="preserve"> 从业人员、营业收入、资产总额填报上一年度数据，无上一年度数据的新成立企业可不填报。</w:t>
      </w:r>
      <w:r/>
    </w:p>
    <w:p>
      <w:pPr>
        <w:pStyle w:val="1044"/>
        <w:spacing w:line="420" w:lineRule="exact"/>
        <w:rPr>
          <w:rFonts w:ascii="微软雅黑" w:hAnsi="微软雅黑" w:cs="微软雅黑"/>
          <w:sz w:val="28"/>
          <w:szCs w:val="28"/>
        </w:rPr>
      </w:pPr>
      <w:r>
        <w:rPr>
          <w:rFonts w:ascii="微软雅黑" w:hAnsi="微软雅黑" w:cs="微软雅黑"/>
          <w:sz w:val="28"/>
          <w:szCs w:val="28"/>
        </w:rPr>
      </w:r>
      <w:r/>
    </w:p>
    <w:p>
      <w:pPr>
        <w:pStyle w:val="1070"/>
        <w:ind w:left="1260"/>
        <w:rPr>
          <w:rFonts w:ascii="微软雅黑" w:hAnsi="微软雅黑" w:cs="微软雅黑"/>
          <w:sz w:val="28"/>
          <w:szCs w:val="28"/>
        </w:rPr>
      </w:pPr>
      <w:r>
        <w:rPr>
          <w:rFonts w:ascii="微软雅黑" w:hAnsi="微软雅黑" w:cs="微软雅黑"/>
          <w:sz w:val="28"/>
          <w:szCs w:val="28"/>
        </w:rPr>
      </w:r>
      <w:r/>
    </w:p>
    <w:p>
      <w:pPr>
        <w:pStyle w:val="1044"/>
        <w:rPr>
          <w:rFonts w:ascii="微软雅黑" w:hAnsi="微软雅黑" w:cs="微软雅黑"/>
          <w:sz w:val="28"/>
          <w:szCs w:val="28"/>
        </w:rPr>
      </w:pPr>
      <w:r>
        <w:rPr>
          <w:rFonts w:ascii="微软雅黑" w:hAnsi="微软雅黑" w:cs="微软雅黑"/>
          <w:sz w:val="28"/>
          <w:szCs w:val="28"/>
        </w:rPr>
      </w:r>
      <w:r/>
    </w:p>
    <w:p>
      <w:pPr>
        <w:pStyle w:val="1070"/>
        <w:ind w:left="1260"/>
        <w:rPr>
          <w:rFonts w:ascii="微软雅黑" w:hAnsi="微软雅黑" w:cs="微软雅黑"/>
          <w:sz w:val="28"/>
          <w:szCs w:val="28"/>
        </w:rPr>
      </w:pPr>
      <w:r>
        <w:rPr>
          <w:rFonts w:ascii="微软雅黑" w:hAnsi="微软雅黑" w:cs="微软雅黑"/>
          <w:sz w:val="28"/>
          <w:szCs w:val="28"/>
        </w:rPr>
      </w:r>
      <w:r/>
    </w:p>
    <w:p>
      <w:pPr>
        <w:pStyle w:val="1044"/>
      </w:pPr>
      <w:r/>
      <w:r/>
    </w:p>
    <w:p>
      <w:pPr>
        <w:pStyle w:val="1044"/>
        <w:jc w:val="left"/>
        <w:spacing w:line="420" w:lineRule="exact"/>
        <w:rPr>
          <w:rFonts w:ascii="微软雅黑" w:hAnsi="微软雅黑" w:cs="微软雅黑"/>
          <w:sz w:val="30"/>
        </w:rPr>
      </w:pPr>
      <w:r>
        <w:rPr>
          <w:rFonts w:ascii="微软雅黑" w:hAnsi="微软雅黑" w:cs="微软雅黑"/>
          <w:sz w:val="30"/>
        </w:rPr>
      </w:r>
      <w:r/>
    </w:p>
    <w:p>
      <w:pPr>
        <w:pStyle w:val="1047"/>
        <w:jc w:val="left"/>
        <w:spacing w:line="440" w:lineRule="exact"/>
        <w:rPr>
          <w:rFonts w:ascii="微软雅黑" w:hAnsi="微软雅黑" w:cs="微软雅黑"/>
          <w:b/>
          <w:bCs w:val="0"/>
          <w:sz w:val="24"/>
          <w:szCs w:val="24"/>
        </w:rPr>
      </w:pPr>
      <w:r/>
      <w:bookmarkStart w:id="318" w:name="_Toc8817"/>
      <w:r/>
      <w:bookmarkStart w:id="319" w:name="_Toc119"/>
      <w:r>
        <w:rPr>
          <w:rFonts w:hint="eastAsia" w:ascii="微软雅黑" w:hAnsi="微软雅黑" w:cs="微软雅黑"/>
          <w:b/>
          <w:bCs w:val="0"/>
          <w:sz w:val="24"/>
          <w:szCs w:val="24"/>
        </w:rPr>
        <w:t xml:space="preserve">附件2.残疾人福利性单位声明函</w:t>
      </w:r>
      <w:bookmarkEnd w:id="318"/>
      <w:r/>
      <w:bookmarkEnd w:id="319"/>
      <w:r>
        <w:rPr>
          <w:rFonts w:ascii="微软雅黑" w:hAnsi="微软雅黑" w:cs="微软雅黑"/>
          <w:b/>
          <w:bCs w:val="0"/>
          <w:sz w:val="24"/>
          <w:szCs w:val="24"/>
        </w:rPr>
      </w:r>
      <w:r/>
    </w:p>
    <w:p>
      <w:pPr>
        <w:pStyle w:val="1044"/>
        <w:spacing w:line="440" w:lineRule="exact"/>
      </w:pPr>
      <w:r>
        <w:rPr>
          <w:rFonts w:hint="eastAsia"/>
        </w:rPr>
        <w:t xml:space="preserve">（如不属于残疾人福利性单位，则无需提供此声明函）</w:t>
      </w:r>
      <w:r/>
    </w:p>
    <w:p>
      <w:pPr>
        <w:pStyle w:val="1093"/>
        <w:ind w:firstLine="420"/>
        <w:jc w:val="center"/>
        <w:spacing w:before="106" w:beforeAutospacing="0" w:after="106" w:afterAutospacing="0" w:line="30" w:lineRule="atLeast"/>
        <w:rPr>
          <w:sz w:val="21"/>
          <w:szCs w:val="21"/>
        </w:rPr>
      </w:pPr>
      <w:r>
        <w:rPr>
          <w:rStyle w:val="1097"/>
          <w:rFonts w:hint="eastAsia" w:ascii="微软雅黑" w:hAnsi="微软雅黑" w:eastAsia="微软雅黑" w:cs="微软雅黑"/>
          <w:sz w:val="21"/>
          <w:szCs w:val="21"/>
        </w:rPr>
        <w:t xml:space="preserve">残疾人福利性单位声明函</w:t>
      </w:r>
      <w:r>
        <w:rPr>
          <w:sz w:val="21"/>
          <w:szCs w:val="21"/>
        </w:rPr>
      </w:r>
      <w:r/>
    </w:p>
    <w:p>
      <w:pPr>
        <w:pStyle w:val="1093"/>
        <w:ind w:firstLine="420"/>
        <w:jc w:val="both"/>
        <w:spacing w:before="106" w:beforeAutospacing="0" w:after="106" w:afterAutospacing="0" w:line="30" w:lineRule="atLeast"/>
        <w:rPr>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sz w:val="21"/>
          <w:szCs w:val="21"/>
        </w:rPr>
      </w:r>
      <w:r/>
    </w:p>
    <w:p>
      <w:pPr>
        <w:pStyle w:val="1093"/>
        <w:ind w:firstLine="420"/>
        <w:jc w:val="both"/>
        <w:spacing w:before="106" w:beforeAutospacing="0" w:after="106" w:afterAutospacing="0" w:line="30" w:lineRule="atLeast"/>
        <w:rPr>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sz w:val="21"/>
          <w:szCs w:val="21"/>
        </w:rPr>
      </w:r>
      <w:r/>
    </w:p>
    <w:p>
      <w:pPr>
        <w:pStyle w:val="1093"/>
        <w:ind w:firstLine="420"/>
        <w:jc w:val="both"/>
        <w:spacing w:before="106" w:beforeAutospacing="0" w:after="106" w:afterAutospacing="0" w:line="30" w:lineRule="atLeast"/>
        <w:rPr>
          <w:sz w:val="21"/>
          <w:szCs w:val="21"/>
        </w:rPr>
      </w:pPr>
      <w:r>
        <w:rPr>
          <w:rFonts w:hint="eastAsia" w:ascii="微软雅黑" w:hAnsi="微软雅黑" w:eastAsia="微软雅黑" w:cs="微软雅黑"/>
          <w:sz w:val="21"/>
          <w:szCs w:val="21"/>
        </w:rPr>
        <w:t xml:space="preserve">                                                                                                单位名称（盖章）：</w:t>
      </w:r>
      <w:r>
        <w:rPr>
          <w:sz w:val="21"/>
          <w:szCs w:val="21"/>
        </w:rPr>
      </w:r>
      <w:r/>
    </w:p>
    <w:p>
      <w:pPr>
        <w:pStyle w:val="1093"/>
        <w:ind w:firstLine="420"/>
        <w:jc w:val="both"/>
        <w:spacing w:before="106" w:beforeAutospacing="0" w:after="106" w:afterAutospacing="0" w:line="30" w:lineRule="atLeast"/>
        <w:rPr>
          <w:sz w:val="21"/>
          <w:szCs w:val="21"/>
        </w:rPr>
      </w:pPr>
      <w:r>
        <w:rPr>
          <w:rFonts w:hint="eastAsia" w:ascii="微软雅黑" w:hAnsi="微软雅黑" w:eastAsia="微软雅黑" w:cs="微软雅黑"/>
          <w:sz w:val="21"/>
          <w:szCs w:val="21"/>
        </w:rPr>
        <w:t xml:space="preserve">                                                                                                日期：</w:t>
      </w:r>
      <w:r>
        <w:rPr>
          <w:sz w:val="21"/>
          <w:szCs w:val="21"/>
        </w:rPr>
      </w:r>
      <w:r/>
    </w:p>
    <w:p>
      <w:pPr>
        <w:pStyle w:val="1047"/>
        <w:jc w:val="left"/>
        <w:spacing w:line="420" w:lineRule="exact"/>
        <w:rPr>
          <w:rFonts w:hint="eastAsia" w:ascii="微软雅黑" w:hAnsi="微软雅黑" w:cs="微软雅黑"/>
          <w:b/>
          <w:bCs w:val="0"/>
          <w:sz w:val="24"/>
          <w:szCs w:val="24"/>
        </w:rPr>
      </w:pPr>
      <w:r>
        <w:rPr>
          <w:rFonts w:hint="eastAsia" w:ascii="微软雅黑" w:hAnsi="微软雅黑" w:cs="微软雅黑"/>
          <w:b/>
          <w:bCs w:val="0"/>
          <w:sz w:val="24"/>
          <w:szCs w:val="24"/>
        </w:rPr>
      </w:r>
      <w:r/>
    </w:p>
    <w:p>
      <w:pPr>
        <w:pStyle w:val="1044"/>
        <w:rPr>
          <w:rFonts w:hint="eastAsia" w:ascii="微软雅黑" w:hAnsi="微软雅黑" w:cs="微软雅黑"/>
          <w:b/>
          <w:bCs/>
          <w:sz w:val="24"/>
          <w:szCs w:val="24"/>
        </w:rPr>
      </w:pPr>
      <w:r>
        <w:rPr>
          <w:rFonts w:hint="eastAsia" w:ascii="微软雅黑" w:hAnsi="微软雅黑" w:cs="微软雅黑"/>
          <w:b/>
          <w:bCs/>
          <w:sz w:val="24"/>
          <w:szCs w:val="24"/>
        </w:rPr>
      </w:r>
      <w:r/>
    </w:p>
    <w:p>
      <w:pPr>
        <w:pStyle w:val="1070"/>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044"/>
        <w:rPr>
          <w:rFonts w:hint="eastAsia" w:ascii="微软雅黑" w:hAnsi="微软雅黑" w:cs="微软雅黑"/>
          <w:b/>
          <w:bCs/>
          <w:sz w:val="24"/>
          <w:szCs w:val="24"/>
        </w:rPr>
      </w:pPr>
      <w:r>
        <w:rPr>
          <w:rFonts w:hint="eastAsia" w:ascii="微软雅黑" w:hAnsi="微软雅黑" w:cs="微软雅黑"/>
          <w:b/>
          <w:bCs/>
          <w:sz w:val="24"/>
          <w:szCs w:val="24"/>
        </w:rPr>
      </w:r>
      <w:r/>
    </w:p>
    <w:sectPr>
      <w:headerReference w:type="default" r:id="rId13"/>
      <w:footerReference w:type="default" r:id="rId18"/>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EU-F1">
    <w:panose1 w:val="020B0503020202020204"/>
  </w:font>
  <w:font w:name="KNLe">
    <w:panose1 w:val="020B0503020202020204"/>
  </w:font>
  <w:font w:name="Courier New">
    <w:panose1 w:val="02070309020205020404"/>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宋体_GB2312" w:eastAsia="宋体_GB2312"/>
      </w:rPr>
    </w:pP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824770759" name=""/>
                      <pic:cNvPicPr/>
                      <pic:nvPr/>
                    </pic:nvPicPr>
                    <pic:blipFill>
                      <a:blip r:embed="rId1"/>
                      <a:stretch/>
                    </pic:blipFill>
                    <pic:spPr bwMode="auto">
                      <a:xfrm>
                        <a:off x="0" y="0"/>
                        <a:ext cx="815339" cy="2273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ascii="Microsoft YaHei" w:hAnsi="Microsoft YaHei" w:eastAsia="Microsoft YaHei" w:cs="Microsoft YaHei"/>
        <w:color w:val="000000"/>
        <w:sz w:val="21"/>
      </w:rPr>
      <w:t xml:space="preserve">JSZC-320000-JSHC-G2026-0008/JSHC-2026020076A2</w:t>
    </w:r>
    <w:r/>
  </w:p>
  <w:p>
    <w:pPr>
      <w:jc w:val="left"/>
      <w:widowControl/>
      <w:rPr>
        <w:rFonts w:hint="eastAsia" w:ascii="微软雅黑" w:hAnsi="微软雅黑" w:eastAsia="微软雅黑" w:cs="微软雅黑"/>
        <w:sz w:val="22"/>
        <w:szCs w:val="22"/>
        <w:u w:val="single"/>
        <w:lang w:eastAsia="zh-CN"/>
      </w:rPr>
    </w:pPr>
    <w:r>
      <w:rPr>
        <w:rFonts w:hint="eastAsia" w:ascii="微软雅黑" w:hAnsi="微软雅黑" w:cs="微软雅黑"/>
        <w:u w:val="single"/>
      </w:rPr>
    </w: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widowControl/>
      <w:rPr>
        <w:rFonts w:hint="eastAsia" w:eastAsia="微软雅黑"/>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JSHC-2026020076A2</w:t>
    </w:r>
    <w:r>
      <w:rPr>
        <w:rFonts w:hint="eastAsia" w:eastAsia="微软雅黑"/>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4"/>
        <w:ind w:left="425" w:hanging="425"/>
      </w:pPr>
    </w:lvl>
    <w:lvl w:ilvl="1">
      <w:start w:val="1"/>
      <w:numFmt w:val="decimal"/>
      <w:isLgl w:val="false"/>
      <w:suff w:val="tab"/>
      <w:lvlText w:val="%1.%2."/>
      <w:lvlJc w:val="left"/>
      <w:pPr>
        <w:pStyle w:val="1044"/>
        <w:ind w:left="567" w:hanging="567"/>
      </w:pPr>
    </w:lvl>
    <w:lvl w:ilvl="2">
      <w:start w:val="1"/>
      <w:numFmt w:val="decimal"/>
      <w:isLgl w:val="false"/>
      <w:suff w:val="tab"/>
      <w:lvlText w:val="%1.%2.%3."/>
      <w:lvlJc w:val="left"/>
      <w:pPr>
        <w:pStyle w:val="1044"/>
        <w:ind w:left="709" w:hanging="709"/>
      </w:pPr>
    </w:lvl>
    <w:lvl w:ilvl="3">
      <w:start w:val="1"/>
      <w:numFmt w:val="decimal"/>
      <w:isLgl w:val="false"/>
      <w:suff w:val="tab"/>
      <w:lvlText w:val="%1.%2.%3.%4."/>
      <w:lvlJc w:val="left"/>
      <w:pPr>
        <w:pStyle w:val="1044"/>
        <w:ind w:left="850" w:hanging="850"/>
      </w:pPr>
    </w:lvl>
    <w:lvl w:ilvl="4">
      <w:start w:val="1"/>
      <w:numFmt w:val="decimal"/>
      <w:isLgl w:val="false"/>
      <w:suff w:val="tab"/>
      <w:lvlText w:val="%1.%2.%3.%4.%5."/>
      <w:lvlJc w:val="left"/>
      <w:pPr>
        <w:pStyle w:val="1044"/>
        <w:ind w:left="991" w:hanging="991"/>
      </w:pPr>
    </w:lvl>
    <w:lvl w:ilvl="5">
      <w:start w:val="1"/>
      <w:numFmt w:val="decimal"/>
      <w:isLgl w:val="false"/>
      <w:suff w:val="tab"/>
      <w:lvlText w:val="%1.%2.%3.%4.%5.%6."/>
      <w:lvlJc w:val="left"/>
      <w:pPr>
        <w:pStyle w:val="1044"/>
        <w:ind w:left="1134" w:hanging="1134"/>
      </w:pPr>
    </w:lvl>
    <w:lvl w:ilvl="6">
      <w:start w:val="1"/>
      <w:numFmt w:val="decimal"/>
      <w:isLgl w:val="false"/>
      <w:suff w:val="tab"/>
      <w:lvlText w:val="%1.%2.%3.%4.%5.%6.%7."/>
      <w:lvlJc w:val="left"/>
      <w:pPr>
        <w:pStyle w:val="1044"/>
        <w:ind w:left="1275" w:hanging="1275"/>
      </w:pPr>
    </w:lvl>
    <w:lvl w:ilvl="7">
      <w:start w:val="1"/>
      <w:numFmt w:val="decimal"/>
      <w:isLgl w:val="false"/>
      <w:suff w:val="tab"/>
      <w:lvlText w:val="%1.%2.%3.%4.%5.%6.%7.%8."/>
      <w:lvlJc w:val="left"/>
      <w:pPr>
        <w:pStyle w:val="1044"/>
        <w:ind w:left="1418" w:hanging="1418"/>
      </w:pPr>
    </w:lvl>
    <w:lvl w:ilvl="8">
      <w:start w:val="1"/>
      <w:numFmt w:val="decimal"/>
      <w:isLgl w:val="false"/>
      <w:suff w:val="tab"/>
      <w:lvlText w:val="%1.%2.%3.%4.%5.%6.%7.%8.%9."/>
      <w:lvlJc w:val="left"/>
      <w:pPr>
        <w:pStyle w:val="1044"/>
        <w:ind w:left="1558" w:hanging="1558"/>
      </w:pPr>
    </w:lvl>
  </w:abstractNum>
  <w:abstractNum w:abstractNumId="2">
    <w:multiLevelType w:val="hybridMultilevel"/>
    <w:lvl w:ilvl="0">
      <w:start w:val="1"/>
      <w:numFmt w:val="decimal"/>
      <w:isLgl w:val="false"/>
      <w:suff w:val="tab"/>
      <w:lvlText w:val="%1."/>
      <w:lvlJc w:val="left"/>
      <w:pPr>
        <w:pStyle w:val="1044"/>
        <w:ind w:left="425" w:hanging="425"/>
      </w:pPr>
    </w:lvl>
    <w:lvl w:ilvl="1">
      <w:start w:val="1"/>
      <w:numFmt w:val="decimal"/>
      <w:isLgl w:val="false"/>
      <w:suff w:val="tab"/>
      <w:lvlText w:val="%1.%2."/>
      <w:lvlJc w:val="left"/>
      <w:pPr>
        <w:pStyle w:val="1044"/>
        <w:ind w:left="567" w:hanging="567"/>
      </w:pPr>
    </w:lvl>
    <w:lvl w:ilvl="2">
      <w:start w:val="1"/>
      <w:numFmt w:val="decimal"/>
      <w:isLgl w:val="false"/>
      <w:suff w:val="tab"/>
      <w:lvlText w:val="%1.%2.%3."/>
      <w:lvlJc w:val="left"/>
      <w:pPr>
        <w:pStyle w:val="1044"/>
        <w:ind w:left="709" w:hanging="709"/>
      </w:pPr>
    </w:lvl>
    <w:lvl w:ilvl="3">
      <w:start w:val="1"/>
      <w:numFmt w:val="decimal"/>
      <w:isLgl w:val="false"/>
      <w:suff w:val="tab"/>
      <w:lvlText w:val="%1.%2.%3.%4."/>
      <w:lvlJc w:val="left"/>
      <w:pPr>
        <w:pStyle w:val="1044"/>
        <w:ind w:left="850" w:hanging="850"/>
      </w:pPr>
    </w:lvl>
    <w:lvl w:ilvl="4">
      <w:start w:val="1"/>
      <w:numFmt w:val="decimal"/>
      <w:isLgl w:val="false"/>
      <w:suff w:val="tab"/>
      <w:lvlText w:val="%1.%2.%3.%4.%5."/>
      <w:lvlJc w:val="left"/>
      <w:pPr>
        <w:pStyle w:val="1044"/>
        <w:ind w:left="991" w:hanging="991"/>
      </w:pPr>
    </w:lvl>
    <w:lvl w:ilvl="5">
      <w:start w:val="1"/>
      <w:numFmt w:val="decimal"/>
      <w:isLgl w:val="false"/>
      <w:suff w:val="tab"/>
      <w:lvlText w:val="%1.%2.%3.%4.%5.%6."/>
      <w:lvlJc w:val="left"/>
      <w:pPr>
        <w:pStyle w:val="1044"/>
        <w:ind w:left="1134" w:hanging="1134"/>
      </w:pPr>
    </w:lvl>
    <w:lvl w:ilvl="6">
      <w:start w:val="1"/>
      <w:numFmt w:val="decimal"/>
      <w:isLgl w:val="false"/>
      <w:suff w:val="tab"/>
      <w:lvlText w:val="%1.%2.%3.%4.%5.%6.%7."/>
      <w:lvlJc w:val="left"/>
      <w:pPr>
        <w:pStyle w:val="1044"/>
        <w:ind w:left="1275" w:hanging="1275"/>
      </w:pPr>
    </w:lvl>
    <w:lvl w:ilvl="7">
      <w:start w:val="1"/>
      <w:numFmt w:val="decimal"/>
      <w:isLgl w:val="false"/>
      <w:suff w:val="tab"/>
      <w:lvlText w:val="%1.%2.%3.%4.%5.%6.%7.%8."/>
      <w:lvlJc w:val="left"/>
      <w:pPr>
        <w:pStyle w:val="1044"/>
        <w:ind w:left="1418" w:hanging="1418"/>
      </w:pPr>
    </w:lvl>
    <w:lvl w:ilvl="8">
      <w:start w:val="1"/>
      <w:numFmt w:val="decimal"/>
      <w:isLgl w:val="false"/>
      <w:suff w:val="tab"/>
      <w:lvlText w:val="%1.%2.%3.%4.%5.%6.%7.%8.%9."/>
      <w:lvlJc w:val="left"/>
      <w:pPr>
        <w:pStyle w:val="1044"/>
        <w:ind w:left="1558" w:hanging="1558"/>
      </w:pPr>
    </w:lvl>
  </w:abstractNum>
  <w:abstractNum w:abstractNumId="3">
    <w:multiLevelType w:val="hybridMultilevel"/>
    <w:lvl w:ilvl="0">
      <w:start w:val="1"/>
      <w:numFmt w:val="decimal"/>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44"/>
        <w:ind w:left="420" w:hanging="420"/>
        <w:tabs>
          <w:tab w:val="num" w:pos="420" w:leader="none"/>
        </w:tabs>
      </w:p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1044"/>
      </w:pPr>
    </w:lvl>
    <w:lvl w:ilvl="1">
      <w:start w:val="1"/>
      <w:numFmt w:val="decimal"/>
      <w:isLgl w:val="false"/>
      <w:suff w:val="tab"/>
      <w:lvlText w:val="%1.%2"/>
      <w:lvlJc w:val="left"/>
      <w:pPr>
        <w:pStyle w:val="1044"/>
      </w:pPr>
    </w:lvl>
    <w:lvl w:ilvl="2">
      <w:start w:val="1"/>
      <w:numFmt w:val="decimal"/>
      <w:isLgl w:val="false"/>
      <w:suff w:val="tab"/>
      <w:lvlText w:val="%1.%2.%3"/>
      <w:lvlJc w:val="left"/>
      <w:pPr>
        <w:pStyle w:val="1044"/>
      </w:pPr>
    </w:lvl>
    <w:lvl w:ilvl="3">
      <w:start w:val="1"/>
      <w:numFmt w:val="decimal"/>
      <w:isLgl w:val="false"/>
      <w:suff w:val="tab"/>
      <w:lvlText w:val="%1.%2.%3.%4"/>
      <w:lvlJc w:val="left"/>
      <w:pPr>
        <w:pStyle w:val="1044"/>
      </w:pPr>
    </w:lvl>
    <w:lvl w:ilvl="4">
      <w:start w:val="1"/>
      <w:numFmt w:val="decimal"/>
      <w:isLgl w:val="false"/>
      <w:suff w:val="tab"/>
      <w:lvlText w:val="%1.%2.%3.%4.%5"/>
      <w:lvlJc w:val="left"/>
      <w:pPr>
        <w:pStyle w:val="1044"/>
      </w:pPr>
    </w:lvl>
    <w:lvl w:ilvl="5">
      <w:start w:val="1"/>
      <w:numFmt w:val="decimal"/>
      <w:isLgl w:val="false"/>
      <w:suff w:val="tab"/>
      <w:lvlText w:val="%1.%2.%3.%4.%5.%6"/>
      <w:lvlJc w:val="left"/>
      <w:pPr>
        <w:pStyle w:val="1044"/>
      </w:pPr>
    </w:lvl>
    <w:lvl w:ilvl="6">
      <w:start w:val="1"/>
      <w:numFmt w:val="decimal"/>
      <w:isLgl w:val="false"/>
      <w:suff w:val="tab"/>
      <w:lvlText w:val="%1.%2.%3.%4.%5.%6.%7"/>
      <w:lvlJc w:val="left"/>
      <w:pPr>
        <w:pStyle w:val="1044"/>
      </w:pPr>
    </w:lvl>
    <w:lvl w:ilvl="7">
      <w:start w:val="1"/>
      <w:numFmt w:val="decimal"/>
      <w:isLgl w:val="false"/>
      <w:suff w:val="tab"/>
      <w:lvlText w:val="%1.%2.%3.%4.%5.%6.%7.%8"/>
      <w:lvlJc w:val="left"/>
      <w:pPr>
        <w:pStyle w:val="1044"/>
      </w:pPr>
    </w:lvl>
    <w:lvl w:ilvl="8">
      <w:start w:val="1"/>
      <w:numFmt w:val="decimal"/>
      <w:isLgl w:val="false"/>
      <w:suff w:val="tab"/>
      <w:lvlText w:val="%1.%2.%3.%4.%5.%6.%7.%8.%9"/>
      <w:lvlJc w:val="left"/>
      <w:pPr>
        <w:pStyle w:val="1044"/>
      </w:pPr>
    </w:lvl>
  </w:abstractNum>
  <w:abstractNum w:abstractNumId="8">
    <w:multiLevelType w:val="hybridMultilevel"/>
    <w:lvl w:ilvl="0">
      <w:start w:val="1"/>
      <w:numFmt w:val="bullet"/>
      <w:pStyle w:val="1203"/>
      <w:isLgl w:val="false"/>
      <w:suff w:val="tab"/>
      <w:lvlText w:val=""/>
      <w:lvlJc w:val="left"/>
      <w:pPr>
        <w:pStyle w:val="1044"/>
        <w:ind w:left="360" w:hanging="360"/>
        <w:tabs>
          <w:tab w:val="num" w:pos="360" w:leader="none"/>
        </w:tabs>
      </w:pPr>
      <w:rPr>
        <w:rFonts w:ascii="Symbol" w:hAnsi="Symbol"/>
      </w:rPr>
    </w:lvl>
    <w:lvl w:ilvl="1">
      <w:start w:val="1"/>
      <w:numFmt w:val="bullet"/>
      <w:isLgl w:val="false"/>
      <w:suff w:val="tab"/>
      <w:lvlText w:val="o"/>
      <w:lvlJc w:val="left"/>
      <w:pPr>
        <w:pStyle w:val="1044"/>
        <w:ind w:left="1080" w:hanging="360"/>
      </w:pPr>
      <w:rPr>
        <w:rFonts w:ascii="Courier New" w:hAnsi="Courier New" w:cs="Courier New"/>
      </w:rPr>
    </w:lvl>
    <w:lvl w:ilvl="2">
      <w:start w:val="1"/>
      <w:numFmt w:val="bullet"/>
      <w:isLgl w:val="false"/>
      <w:suff w:val="tab"/>
      <w:lvlText w:val=""/>
      <w:lvlJc w:val="left"/>
      <w:pPr>
        <w:pStyle w:val="1044"/>
        <w:ind w:left="1800" w:hanging="360"/>
      </w:pPr>
      <w:rPr>
        <w:rFonts w:ascii="Wingdings" w:hAnsi="Wingdings"/>
      </w:rPr>
    </w:lvl>
    <w:lvl w:ilvl="3">
      <w:start w:val="1"/>
      <w:numFmt w:val="bullet"/>
      <w:isLgl w:val="false"/>
      <w:suff w:val="tab"/>
      <w:lvlText w:val=""/>
      <w:lvlJc w:val="left"/>
      <w:pPr>
        <w:pStyle w:val="1044"/>
        <w:ind w:left="2520" w:hanging="360"/>
      </w:pPr>
      <w:rPr>
        <w:rFonts w:ascii="Symbol" w:hAnsi="Symbol"/>
      </w:rPr>
    </w:lvl>
    <w:lvl w:ilvl="4">
      <w:start w:val="1"/>
      <w:numFmt w:val="bullet"/>
      <w:isLgl w:val="false"/>
      <w:suff w:val="tab"/>
      <w:lvlText w:val="o"/>
      <w:lvlJc w:val="left"/>
      <w:pPr>
        <w:pStyle w:val="1044"/>
        <w:ind w:left="3240" w:hanging="360"/>
      </w:pPr>
      <w:rPr>
        <w:rFonts w:ascii="Courier New" w:hAnsi="Courier New" w:cs="Courier New"/>
      </w:rPr>
    </w:lvl>
    <w:lvl w:ilvl="5">
      <w:start w:val="1"/>
      <w:numFmt w:val="bullet"/>
      <w:isLgl w:val="false"/>
      <w:suff w:val="tab"/>
      <w:lvlText w:val=""/>
      <w:lvlJc w:val="left"/>
      <w:pPr>
        <w:pStyle w:val="1044"/>
        <w:ind w:left="3960" w:hanging="360"/>
      </w:pPr>
      <w:rPr>
        <w:rFonts w:ascii="Wingdings" w:hAnsi="Wingdings"/>
      </w:rPr>
    </w:lvl>
    <w:lvl w:ilvl="6">
      <w:start w:val="1"/>
      <w:numFmt w:val="bullet"/>
      <w:isLgl w:val="false"/>
      <w:suff w:val="tab"/>
      <w:lvlText w:val=""/>
      <w:lvlJc w:val="left"/>
      <w:pPr>
        <w:pStyle w:val="1044"/>
        <w:ind w:left="4680" w:hanging="360"/>
      </w:pPr>
      <w:rPr>
        <w:rFonts w:ascii="Symbol" w:hAnsi="Symbol"/>
      </w:rPr>
    </w:lvl>
    <w:lvl w:ilvl="7">
      <w:start w:val="1"/>
      <w:numFmt w:val="bullet"/>
      <w:isLgl w:val="false"/>
      <w:suff w:val="tab"/>
      <w:lvlText w:val="o"/>
      <w:lvlJc w:val="left"/>
      <w:pPr>
        <w:pStyle w:val="1044"/>
        <w:ind w:left="5400" w:hanging="360"/>
      </w:pPr>
      <w:rPr>
        <w:rFonts w:ascii="Courier New" w:hAnsi="Courier New" w:cs="Courier New"/>
      </w:rPr>
    </w:lvl>
    <w:lvl w:ilvl="8">
      <w:start w:val="1"/>
      <w:numFmt w:val="bullet"/>
      <w:isLgl w:val="false"/>
      <w:suff w:val="tab"/>
      <w:lvlText w:val=""/>
      <w:lvlJc w:val="left"/>
      <w:pPr>
        <w:pStyle w:val="1044"/>
        <w:ind w:left="6120" w:hanging="360"/>
      </w:pPr>
      <w:rPr>
        <w:rFonts w:ascii="Wingdings" w:hAnsi="Wingdings"/>
      </w:rPr>
    </w:lvl>
  </w:abstractNum>
  <w:abstractNum w:abstractNumId="9">
    <w:multiLevelType w:val="hybridMultilevel"/>
    <w:lvl w:ilvl="0">
      <w:start w:val="1"/>
      <w:numFmt w:val="decimal"/>
      <w:pStyle w:val="1158"/>
      <w:isLgl w:val="false"/>
      <w:suff w:val="tab"/>
      <w:lvlText w:val="%1."/>
      <w:lvlJc w:val="left"/>
      <w:pPr>
        <w:pStyle w:val="1044"/>
        <w:tabs>
          <w:tab w:val="num" w:pos="360" w:leader="none"/>
        </w:tabs>
      </w:pPr>
      <w:rPr>
        <w:rFonts w:hint="eastAsia"/>
      </w:rPr>
    </w:lvl>
    <w:lvl w:ilvl="1">
      <w:start w:val="1"/>
      <w:numFmt w:val="decimal"/>
      <w:pStyle w:val="1194"/>
      <w:isLgl w:val="false"/>
      <w:suff w:val="tab"/>
      <w:lvlText w:val="%1.%2"/>
      <w:lvlJc w:val="left"/>
      <w:pPr>
        <w:pStyle w:val="1044"/>
        <w:tabs>
          <w:tab w:val="num" w:pos="720" w:leader="none"/>
        </w:tabs>
      </w:pPr>
      <w:rPr>
        <w:rFonts w:hint="eastAsia"/>
        <w:b w:val="0"/>
        <w:bCs w:val="0"/>
        <w:i w:val="0"/>
        <w:iCs w:val="0"/>
      </w:rPr>
    </w:lvl>
    <w:lvl w:ilvl="2">
      <w:start w:val="1"/>
      <w:numFmt w:val="decimal"/>
      <w:pStyle w:val="1146"/>
      <w:isLgl w:val="false"/>
      <w:suff w:val="tab"/>
      <w:lvlText w:val="%1.%2.%3"/>
      <w:lvlJc w:val="left"/>
      <w:pPr>
        <w:pStyle w:val="1044"/>
        <w:tabs>
          <w:tab w:val="num" w:pos="720"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10">
    <w:multiLevelType w:val="hybridMultilevel"/>
    <w:lvl w:ilvl="0">
      <w:start w:val="1"/>
      <w:numFmt w:val="lowerLetter"/>
      <w:pStyle w:val="1060"/>
      <w:isLgl w:val="false"/>
      <w:suff w:val="tab"/>
      <w:lvlText w:val="%1)"/>
      <w:lvlJc w:val="left"/>
      <w:pPr>
        <w:pStyle w:val="1044"/>
        <w:ind w:left="990" w:hanging="360"/>
        <w:tabs>
          <w:tab w:val="num" w:pos="990" w:leader="none"/>
        </w:tabs>
      </w:pPr>
      <w:rPr>
        <w:rFonts w:hint="eastAsia"/>
      </w:rPr>
    </w:lvl>
    <w:lvl w:ilvl="1">
      <w:start w:val="1"/>
      <w:numFmt w:val="lowerLetter"/>
      <w:pStyle w:val="1213"/>
      <w:isLgl w:val="false"/>
      <w:suff w:val="tab"/>
      <w:lvlText w:val="%2)"/>
      <w:lvlJc w:val="left"/>
      <w:pPr>
        <w:pStyle w:val="1044"/>
        <w:ind w:left="1470" w:hanging="420"/>
        <w:tabs>
          <w:tab w:val="num" w:pos="1470" w:leader="none"/>
        </w:tabs>
      </w:pPr>
    </w:lvl>
    <w:lvl w:ilvl="2">
      <w:start w:val="1"/>
      <w:numFmt w:val="lowerRoman"/>
      <w:isLgl w:val="false"/>
      <w:suff w:val="tab"/>
      <w:lvlText w:val="%3."/>
      <w:lvlJc w:val="right"/>
      <w:pPr>
        <w:pStyle w:val="1044"/>
        <w:ind w:left="1890" w:hanging="420"/>
        <w:tabs>
          <w:tab w:val="num" w:pos="1890" w:leader="none"/>
        </w:tabs>
      </w:pPr>
    </w:lvl>
    <w:lvl w:ilvl="3">
      <w:start w:val="1"/>
      <w:numFmt w:val="decimal"/>
      <w:isLgl w:val="false"/>
      <w:suff w:val="tab"/>
      <w:lvlText w:val="%4."/>
      <w:lvlJc w:val="left"/>
      <w:pPr>
        <w:pStyle w:val="1044"/>
        <w:ind w:left="2310" w:hanging="420"/>
        <w:tabs>
          <w:tab w:val="num" w:pos="2310" w:leader="none"/>
        </w:tabs>
      </w:pPr>
    </w:lvl>
    <w:lvl w:ilvl="4">
      <w:start w:val="1"/>
      <w:numFmt w:val="lowerLetter"/>
      <w:isLgl w:val="false"/>
      <w:suff w:val="tab"/>
      <w:lvlText w:val="%5)"/>
      <w:lvlJc w:val="left"/>
      <w:pPr>
        <w:pStyle w:val="1044"/>
        <w:ind w:left="2730" w:hanging="420"/>
        <w:tabs>
          <w:tab w:val="num" w:pos="2730" w:leader="none"/>
        </w:tabs>
      </w:pPr>
    </w:lvl>
    <w:lvl w:ilvl="5">
      <w:start w:val="1"/>
      <w:numFmt w:val="lowerRoman"/>
      <w:isLgl w:val="false"/>
      <w:suff w:val="tab"/>
      <w:lvlText w:val="%6."/>
      <w:lvlJc w:val="right"/>
      <w:pPr>
        <w:pStyle w:val="1044"/>
        <w:ind w:left="3150" w:hanging="420"/>
        <w:tabs>
          <w:tab w:val="num" w:pos="3150" w:leader="none"/>
        </w:tabs>
      </w:pPr>
    </w:lvl>
    <w:lvl w:ilvl="6">
      <w:start w:val="1"/>
      <w:numFmt w:val="decimal"/>
      <w:isLgl w:val="false"/>
      <w:suff w:val="tab"/>
      <w:lvlText w:val="%7."/>
      <w:lvlJc w:val="left"/>
      <w:pPr>
        <w:pStyle w:val="1044"/>
        <w:ind w:left="3570" w:hanging="420"/>
        <w:tabs>
          <w:tab w:val="num" w:pos="3570" w:leader="none"/>
        </w:tabs>
      </w:pPr>
    </w:lvl>
    <w:lvl w:ilvl="7">
      <w:start w:val="1"/>
      <w:numFmt w:val="lowerLetter"/>
      <w:isLgl w:val="false"/>
      <w:suff w:val="tab"/>
      <w:lvlText w:val="%8)"/>
      <w:lvlJc w:val="left"/>
      <w:pPr>
        <w:pStyle w:val="1044"/>
        <w:ind w:left="3990" w:hanging="420"/>
        <w:tabs>
          <w:tab w:val="num" w:pos="3990" w:leader="none"/>
        </w:tabs>
      </w:pPr>
    </w:lvl>
    <w:lvl w:ilvl="8">
      <w:start w:val="1"/>
      <w:numFmt w:val="lowerRoman"/>
      <w:isLgl w:val="false"/>
      <w:suff w:val="tab"/>
      <w:lvlText w:val="%9."/>
      <w:lvlJc w:val="right"/>
      <w:pPr>
        <w:pStyle w:val="1044"/>
        <w:ind w:left="4410" w:hanging="420"/>
        <w:tabs>
          <w:tab w:val="num" w:pos="4410" w:leader="none"/>
        </w:tabs>
      </w:pPr>
    </w:lvl>
  </w:abstractNum>
  <w:abstractNum w:abstractNumId="11">
    <w:multiLevelType w:val="hybridMultilevel"/>
    <w:lvl w:ilvl="0">
      <w:start w:val="2"/>
      <w:numFmt w:val="chineseCounting"/>
      <w:isLgl w:val="false"/>
      <w:suff w:val="space"/>
      <w:lvlText w:val="第%1章"/>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91"/>
      <w:isLgl w:val="false"/>
      <w:suff w:val="tab"/>
      <w:lvlText w:val="%1注："/>
      <w:lvlJc w:val="left"/>
      <w:pPr>
        <w:pStyle w:val="1044"/>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44"/>
        <w:ind w:left="780" w:hanging="360"/>
        <w:tabs>
          <w:tab w:val="num" w:pos="780" w:leader="none"/>
        </w:tabs>
      </w:pPr>
      <w:rPr>
        <w:rFonts w:hint="eastAsia"/>
      </w:r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14">
    <w:multiLevelType w:val="hybridMultilevel"/>
    <w:lvl w:ilvl="0">
      <w:start w:val="1"/>
      <w:numFmt w:val="decimal"/>
      <w:isLgl w:val="false"/>
      <w:suff w:val="tab"/>
      <w:lvlText w:val="%1."/>
      <w:lvlJc w:val="left"/>
      <w:pPr>
        <w:pStyle w:val="10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44"/>
        <w:ind w:left="425" w:hanging="425"/>
      </w:pPr>
    </w:lvl>
    <w:lvl w:ilvl="1">
      <w:start w:val="1"/>
      <w:numFmt w:val="decimal"/>
      <w:isLgl w:val="false"/>
      <w:suff w:val="tab"/>
      <w:lvlText w:val="%1.%2."/>
      <w:lvlJc w:val="left"/>
      <w:pPr>
        <w:pStyle w:val="1044"/>
        <w:ind w:left="567" w:hanging="567"/>
      </w:pPr>
    </w:lvl>
    <w:lvl w:ilvl="2">
      <w:start w:val="1"/>
      <w:numFmt w:val="decimal"/>
      <w:isLgl w:val="false"/>
      <w:suff w:val="tab"/>
      <w:lvlText w:val="%1.%2.%3."/>
      <w:lvlJc w:val="left"/>
      <w:pPr>
        <w:pStyle w:val="1044"/>
        <w:ind w:left="709" w:hanging="709"/>
      </w:pPr>
    </w:lvl>
    <w:lvl w:ilvl="3">
      <w:start w:val="1"/>
      <w:numFmt w:val="decimal"/>
      <w:isLgl w:val="false"/>
      <w:suff w:val="tab"/>
      <w:lvlText w:val="%1.%2.%3.%4."/>
      <w:lvlJc w:val="left"/>
      <w:pPr>
        <w:pStyle w:val="1044"/>
        <w:ind w:left="850" w:hanging="850"/>
      </w:pPr>
    </w:lvl>
    <w:lvl w:ilvl="4">
      <w:start w:val="1"/>
      <w:numFmt w:val="decimal"/>
      <w:isLgl w:val="false"/>
      <w:suff w:val="tab"/>
      <w:lvlText w:val="%1.%2.%3.%4.%5."/>
      <w:lvlJc w:val="left"/>
      <w:pPr>
        <w:pStyle w:val="1044"/>
        <w:ind w:left="991" w:hanging="991"/>
      </w:pPr>
    </w:lvl>
    <w:lvl w:ilvl="5">
      <w:start w:val="1"/>
      <w:numFmt w:val="decimal"/>
      <w:isLgl w:val="false"/>
      <w:suff w:val="tab"/>
      <w:lvlText w:val="%1.%2.%3.%4.%5.%6."/>
      <w:lvlJc w:val="left"/>
      <w:pPr>
        <w:pStyle w:val="1044"/>
        <w:ind w:left="1134" w:hanging="1134"/>
      </w:pPr>
    </w:lvl>
    <w:lvl w:ilvl="6">
      <w:start w:val="1"/>
      <w:numFmt w:val="decimal"/>
      <w:isLgl w:val="false"/>
      <w:suff w:val="tab"/>
      <w:lvlText w:val="%1.%2.%3.%4.%5.%6.%7."/>
      <w:lvlJc w:val="left"/>
      <w:pPr>
        <w:pStyle w:val="1044"/>
        <w:ind w:left="1275" w:hanging="1275"/>
      </w:pPr>
    </w:lvl>
    <w:lvl w:ilvl="7">
      <w:start w:val="1"/>
      <w:numFmt w:val="decimal"/>
      <w:isLgl w:val="false"/>
      <w:suff w:val="tab"/>
      <w:lvlText w:val="%1.%2.%3.%4.%5.%6.%7.%8."/>
      <w:lvlJc w:val="left"/>
      <w:pPr>
        <w:pStyle w:val="1044"/>
        <w:ind w:left="1418" w:hanging="1418"/>
      </w:pPr>
    </w:lvl>
    <w:lvl w:ilvl="8">
      <w:start w:val="1"/>
      <w:numFmt w:val="decimal"/>
      <w:isLgl w:val="false"/>
      <w:suff w:val="tab"/>
      <w:lvlText w:val="%1.%2.%3.%4.%5.%6.%7.%8.%9."/>
      <w:lvlJc w:val="left"/>
      <w:pPr>
        <w:pStyle w:val="1044"/>
        <w:ind w:left="1558" w:hanging="1558"/>
      </w:pPr>
    </w:lvl>
  </w:abstractNum>
  <w:num w:numId="1">
    <w:abstractNumId w:val="10"/>
  </w:num>
  <w:num w:numId="2">
    <w:abstractNumId w:val="9"/>
  </w:num>
  <w:num w:numId="3">
    <w:abstractNumId w:val="13"/>
  </w:num>
  <w:num w:numId="4">
    <w:abstractNumId w:val="8"/>
  </w:num>
  <w:num w:numId="5">
    <w:abstractNumId w:val="11"/>
  </w:num>
  <w:num w:numId="6">
    <w:abstractNumId w:val="4"/>
  </w:num>
  <w:num w:numId="7">
    <w:abstractNumId w:val="5"/>
  </w:num>
  <w:num w:numId="8">
    <w:abstractNumId w:val="0"/>
  </w:num>
  <w:num w:numId="9">
    <w:abstractNumId w:val="2"/>
  </w:num>
  <w:num w:numId="10">
    <w:abstractNumId w:val="1"/>
  </w:num>
  <w:num w:numId="11">
    <w:abstractNumId w:val="15"/>
  </w:num>
  <w:num w:numId="12">
    <w:abstractNumId w:val="6"/>
  </w:num>
  <w:num w:numId="13">
    <w:abstractNumId w:val="7"/>
  </w:num>
  <w:num w:numId="14">
    <w:abstractNumId w:val="12"/>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Heading 1"/>
    <w:basedOn w:val="1044"/>
    <w:next w:val="1044"/>
    <w:link w:val="868"/>
    <w:uiPriority w:val="9"/>
    <w:qFormat/>
    <w:pPr>
      <w:keepLines/>
      <w:keepNext/>
      <w:spacing w:before="480" w:after="200"/>
      <w:outlineLvl w:val="0"/>
    </w:pPr>
    <w:rPr>
      <w:rFonts w:ascii="Arial" w:hAnsi="Arial" w:eastAsia="Arial" w:cs="Arial"/>
      <w:sz w:val="40"/>
      <w:szCs w:val="40"/>
    </w:rPr>
  </w:style>
  <w:style w:type="character" w:styleId="868">
    <w:name w:val="Heading 1 Char"/>
    <w:link w:val="867"/>
    <w:uiPriority w:val="9"/>
    <w:rPr>
      <w:rFonts w:ascii="Arial" w:hAnsi="Arial" w:eastAsia="Arial" w:cs="Arial"/>
      <w:sz w:val="40"/>
      <w:szCs w:val="40"/>
    </w:rPr>
  </w:style>
  <w:style w:type="paragraph" w:styleId="869">
    <w:name w:val="Heading 2"/>
    <w:basedOn w:val="1044"/>
    <w:next w:val="1044"/>
    <w:link w:val="870"/>
    <w:uiPriority w:val="9"/>
    <w:unhideWhenUsed/>
    <w:qFormat/>
    <w:pPr>
      <w:keepLines/>
      <w:keepNext/>
      <w:spacing w:before="360" w:after="200"/>
      <w:outlineLvl w:val="1"/>
    </w:pPr>
    <w:rPr>
      <w:rFonts w:ascii="Arial" w:hAnsi="Arial" w:eastAsia="Arial" w:cs="Arial"/>
      <w:sz w:val="34"/>
    </w:rPr>
  </w:style>
  <w:style w:type="character" w:styleId="870">
    <w:name w:val="Heading 2 Char"/>
    <w:link w:val="869"/>
    <w:uiPriority w:val="9"/>
    <w:rPr>
      <w:rFonts w:ascii="Arial" w:hAnsi="Arial" w:eastAsia="Arial" w:cs="Arial"/>
      <w:sz w:val="34"/>
    </w:rPr>
  </w:style>
  <w:style w:type="paragraph" w:styleId="871">
    <w:name w:val="Heading 3"/>
    <w:basedOn w:val="1044"/>
    <w:next w:val="1044"/>
    <w:link w:val="872"/>
    <w:uiPriority w:val="9"/>
    <w:unhideWhenUsed/>
    <w:qFormat/>
    <w:pPr>
      <w:keepLines/>
      <w:keepNext/>
      <w:spacing w:before="320" w:after="200"/>
      <w:outlineLvl w:val="2"/>
    </w:pPr>
    <w:rPr>
      <w:rFonts w:ascii="Arial" w:hAnsi="Arial" w:eastAsia="Arial" w:cs="Arial"/>
      <w:sz w:val="30"/>
      <w:szCs w:val="30"/>
    </w:rPr>
  </w:style>
  <w:style w:type="character" w:styleId="872">
    <w:name w:val="Heading 3 Char"/>
    <w:link w:val="871"/>
    <w:uiPriority w:val="9"/>
    <w:rPr>
      <w:rFonts w:ascii="Arial" w:hAnsi="Arial" w:eastAsia="Arial" w:cs="Arial"/>
      <w:sz w:val="30"/>
      <w:szCs w:val="30"/>
    </w:rPr>
  </w:style>
  <w:style w:type="paragraph" w:styleId="873">
    <w:name w:val="Heading 4"/>
    <w:basedOn w:val="1044"/>
    <w:next w:val="1044"/>
    <w:link w:val="874"/>
    <w:uiPriority w:val="9"/>
    <w:unhideWhenUsed/>
    <w:qFormat/>
    <w:pPr>
      <w:keepLines/>
      <w:keepNext/>
      <w:spacing w:before="320" w:after="200"/>
      <w:outlineLvl w:val="3"/>
    </w:pPr>
    <w:rPr>
      <w:rFonts w:ascii="Arial" w:hAnsi="Arial" w:eastAsia="Arial" w:cs="Arial"/>
      <w:b/>
      <w:bCs/>
      <w:sz w:val="26"/>
      <w:szCs w:val="26"/>
    </w:rPr>
  </w:style>
  <w:style w:type="character" w:styleId="874">
    <w:name w:val="Heading 4 Char"/>
    <w:link w:val="873"/>
    <w:uiPriority w:val="9"/>
    <w:rPr>
      <w:rFonts w:ascii="Arial" w:hAnsi="Arial" w:eastAsia="Arial" w:cs="Arial"/>
      <w:b/>
      <w:bCs/>
      <w:sz w:val="26"/>
      <w:szCs w:val="26"/>
    </w:rPr>
  </w:style>
  <w:style w:type="paragraph" w:styleId="875">
    <w:name w:val="Heading 5"/>
    <w:basedOn w:val="1044"/>
    <w:next w:val="1044"/>
    <w:link w:val="876"/>
    <w:uiPriority w:val="9"/>
    <w:unhideWhenUsed/>
    <w:qFormat/>
    <w:pPr>
      <w:keepLines/>
      <w:keepNext/>
      <w:spacing w:before="320" w:after="200"/>
      <w:outlineLvl w:val="4"/>
    </w:pPr>
    <w:rPr>
      <w:rFonts w:ascii="Arial" w:hAnsi="Arial" w:eastAsia="Arial" w:cs="Arial"/>
      <w:b/>
      <w:bCs/>
      <w:sz w:val="24"/>
      <w:szCs w:val="24"/>
    </w:rPr>
  </w:style>
  <w:style w:type="character" w:styleId="876">
    <w:name w:val="Heading 5 Char"/>
    <w:link w:val="875"/>
    <w:uiPriority w:val="9"/>
    <w:rPr>
      <w:rFonts w:ascii="Arial" w:hAnsi="Arial" w:eastAsia="Arial" w:cs="Arial"/>
      <w:b/>
      <w:bCs/>
      <w:sz w:val="24"/>
      <w:szCs w:val="24"/>
    </w:rPr>
  </w:style>
  <w:style w:type="paragraph" w:styleId="877">
    <w:name w:val="Heading 6"/>
    <w:basedOn w:val="1044"/>
    <w:next w:val="1044"/>
    <w:link w:val="878"/>
    <w:uiPriority w:val="9"/>
    <w:unhideWhenUsed/>
    <w:qFormat/>
    <w:pPr>
      <w:keepLines/>
      <w:keepNext/>
      <w:spacing w:before="320" w:after="200"/>
      <w:outlineLvl w:val="5"/>
    </w:pPr>
    <w:rPr>
      <w:rFonts w:ascii="Arial" w:hAnsi="Arial" w:eastAsia="Arial" w:cs="Arial"/>
      <w:b/>
      <w:bCs/>
      <w:sz w:val="22"/>
      <w:szCs w:val="22"/>
    </w:rPr>
  </w:style>
  <w:style w:type="character" w:styleId="878">
    <w:name w:val="Heading 6 Char"/>
    <w:link w:val="877"/>
    <w:uiPriority w:val="9"/>
    <w:rPr>
      <w:rFonts w:ascii="Arial" w:hAnsi="Arial" w:eastAsia="Arial" w:cs="Arial"/>
      <w:b/>
      <w:bCs/>
      <w:sz w:val="22"/>
      <w:szCs w:val="22"/>
    </w:rPr>
  </w:style>
  <w:style w:type="paragraph" w:styleId="879">
    <w:name w:val="Heading 7"/>
    <w:basedOn w:val="1044"/>
    <w:next w:val="1044"/>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link w:val="879"/>
    <w:uiPriority w:val="9"/>
    <w:rPr>
      <w:rFonts w:ascii="Arial" w:hAnsi="Arial" w:eastAsia="Arial" w:cs="Arial"/>
      <w:b/>
      <w:bCs/>
      <w:i/>
      <w:iCs/>
      <w:sz w:val="22"/>
      <w:szCs w:val="22"/>
    </w:rPr>
  </w:style>
  <w:style w:type="paragraph" w:styleId="881">
    <w:name w:val="Heading 8"/>
    <w:basedOn w:val="1044"/>
    <w:next w:val="1044"/>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link w:val="881"/>
    <w:uiPriority w:val="9"/>
    <w:rPr>
      <w:rFonts w:ascii="Arial" w:hAnsi="Arial" w:eastAsia="Arial" w:cs="Arial"/>
      <w:i/>
      <w:iCs/>
      <w:sz w:val="22"/>
      <w:szCs w:val="22"/>
    </w:rPr>
  </w:style>
  <w:style w:type="paragraph" w:styleId="883">
    <w:name w:val="Heading 9"/>
    <w:basedOn w:val="1044"/>
    <w:next w:val="1044"/>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link w:val="883"/>
    <w:uiPriority w:val="9"/>
    <w:rPr>
      <w:rFonts w:ascii="Arial" w:hAnsi="Arial" w:eastAsia="Arial" w:cs="Arial"/>
      <w:i/>
      <w:iCs/>
      <w:sz w:val="21"/>
      <w:szCs w:val="21"/>
    </w:rPr>
  </w:style>
  <w:style w:type="paragraph" w:styleId="885">
    <w:name w:val="No Spacing"/>
    <w:uiPriority w:val="1"/>
    <w:qFormat/>
    <w:pPr>
      <w:spacing w:before="0" w:after="0" w:line="240" w:lineRule="auto"/>
    </w:pPr>
  </w:style>
  <w:style w:type="paragraph" w:styleId="886">
    <w:name w:val="Title"/>
    <w:basedOn w:val="1044"/>
    <w:next w:val="1044"/>
    <w:link w:val="887"/>
    <w:uiPriority w:val="10"/>
    <w:qFormat/>
    <w:pPr>
      <w:contextualSpacing/>
      <w:spacing w:before="300" w:after="200"/>
    </w:pPr>
    <w:rPr>
      <w:sz w:val="48"/>
      <w:szCs w:val="48"/>
    </w:rPr>
  </w:style>
  <w:style w:type="character" w:styleId="887">
    <w:name w:val="Title Char"/>
    <w:link w:val="886"/>
    <w:uiPriority w:val="10"/>
    <w:rPr>
      <w:sz w:val="48"/>
      <w:szCs w:val="48"/>
    </w:rPr>
  </w:style>
  <w:style w:type="paragraph" w:styleId="888">
    <w:name w:val="Subtitle"/>
    <w:basedOn w:val="1044"/>
    <w:next w:val="1044"/>
    <w:link w:val="889"/>
    <w:uiPriority w:val="11"/>
    <w:qFormat/>
    <w:pPr>
      <w:spacing w:before="200" w:after="200"/>
    </w:pPr>
    <w:rPr>
      <w:sz w:val="24"/>
      <w:szCs w:val="24"/>
    </w:rPr>
  </w:style>
  <w:style w:type="character" w:styleId="889">
    <w:name w:val="Subtitle Char"/>
    <w:link w:val="888"/>
    <w:uiPriority w:val="11"/>
    <w:rPr>
      <w:sz w:val="24"/>
      <w:szCs w:val="24"/>
    </w:rPr>
  </w:style>
  <w:style w:type="paragraph" w:styleId="890">
    <w:name w:val="Quote"/>
    <w:basedOn w:val="1044"/>
    <w:next w:val="1044"/>
    <w:link w:val="891"/>
    <w:uiPriority w:val="29"/>
    <w:qFormat/>
    <w:pPr>
      <w:ind w:left="720" w:right="720"/>
    </w:pPr>
    <w:rPr>
      <w:i/>
    </w:rPr>
  </w:style>
  <w:style w:type="character" w:styleId="891">
    <w:name w:val="Quote Char"/>
    <w:link w:val="890"/>
    <w:uiPriority w:val="29"/>
    <w:rPr>
      <w:i/>
    </w:rPr>
  </w:style>
  <w:style w:type="paragraph" w:styleId="892">
    <w:name w:val="Intense Quote"/>
    <w:basedOn w:val="1044"/>
    <w:next w:val="1044"/>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paragraph" w:styleId="894">
    <w:name w:val="Header"/>
    <w:basedOn w:val="1044"/>
    <w:link w:val="895"/>
    <w:uiPriority w:val="99"/>
    <w:unhideWhenUsed/>
    <w:pPr>
      <w:spacing w:after="0" w:line="240" w:lineRule="auto"/>
      <w:tabs>
        <w:tab w:val="center" w:pos="7143" w:leader="none"/>
        <w:tab w:val="right" w:pos="14287" w:leader="none"/>
      </w:tabs>
    </w:pPr>
  </w:style>
  <w:style w:type="character" w:styleId="895">
    <w:name w:val="Header Char"/>
    <w:link w:val="894"/>
    <w:uiPriority w:val="99"/>
  </w:style>
  <w:style w:type="paragraph" w:styleId="896">
    <w:name w:val="Footer"/>
    <w:basedOn w:val="1044"/>
    <w:link w:val="899"/>
    <w:uiPriority w:val="99"/>
    <w:unhideWhenUsed/>
    <w:pPr>
      <w:spacing w:after="0" w:line="240" w:lineRule="auto"/>
      <w:tabs>
        <w:tab w:val="center" w:pos="7143" w:leader="none"/>
        <w:tab w:val="right" w:pos="14287" w:leader="none"/>
      </w:tabs>
    </w:pPr>
  </w:style>
  <w:style w:type="character" w:styleId="897">
    <w:name w:val="Footer Char"/>
    <w:link w:val="896"/>
    <w:uiPriority w:val="99"/>
  </w:style>
  <w:style w:type="paragraph" w:styleId="898">
    <w:name w:val="Caption"/>
    <w:basedOn w:val="1044"/>
    <w:next w:val="1044"/>
    <w:uiPriority w:val="35"/>
    <w:semiHidden/>
    <w:unhideWhenUsed/>
    <w:qFormat/>
    <w:pPr>
      <w:spacing w:line="276" w:lineRule="auto"/>
    </w:pPr>
    <w:rPr>
      <w:b/>
      <w:bCs/>
      <w:color w:val="4f81bd" w:themeColor="accent1"/>
      <w:sz w:val="18"/>
      <w:szCs w:val="18"/>
    </w:rPr>
  </w:style>
  <w:style w:type="character" w:styleId="899">
    <w:name w:val="Caption Char"/>
    <w:basedOn w:val="898"/>
    <w:link w:val="896"/>
    <w:uiPriority w:val="99"/>
  </w:style>
  <w:style w:type="table" w:styleId="9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6">
    <w:name w:val="Hyperlink"/>
    <w:uiPriority w:val="99"/>
    <w:unhideWhenUsed/>
    <w:rPr>
      <w:color w:val="0000ff" w:themeColor="hyperlink"/>
      <w:u w:val="single"/>
    </w:rPr>
  </w:style>
  <w:style w:type="paragraph" w:styleId="1027">
    <w:name w:val="footnote text"/>
    <w:basedOn w:val="1044"/>
    <w:link w:val="1028"/>
    <w:uiPriority w:val="99"/>
    <w:semiHidden/>
    <w:unhideWhenUsed/>
    <w:pPr>
      <w:spacing w:after="40" w:line="240" w:lineRule="auto"/>
    </w:pPr>
    <w:rPr>
      <w:sz w:val="18"/>
    </w:rPr>
  </w:style>
  <w:style w:type="character" w:styleId="1028">
    <w:name w:val="Footnote Text Char"/>
    <w:link w:val="1027"/>
    <w:uiPriority w:val="99"/>
    <w:rPr>
      <w:sz w:val="18"/>
    </w:rPr>
  </w:style>
  <w:style w:type="character" w:styleId="1029">
    <w:name w:val="footnote reference"/>
    <w:uiPriority w:val="99"/>
    <w:unhideWhenUsed/>
    <w:rPr>
      <w:vertAlign w:val="superscript"/>
    </w:rPr>
  </w:style>
  <w:style w:type="paragraph" w:styleId="1030">
    <w:name w:val="endnote text"/>
    <w:basedOn w:val="1044"/>
    <w:link w:val="1031"/>
    <w:uiPriority w:val="99"/>
    <w:semiHidden/>
    <w:unhideWhenUsed/>
    <w:pPr>
      <w:spacing w:after="0" w:line="240" w:lineRule="auto"/>
    </w:pPr>
    <w:rPr>
      <w:sz w:val="20"/>
    </w:rPr>
  </w:style>
  <w:style w:type="character" w:styleId="1031">
    <w:name w:val="Endnote Text Char"/>
    <w:link w:val="1030"/>
    <w:uiPriority w:val="99"/>
    <w:rPr>
      <w:sz w:val="20"/>
    </w:rPr>
  </w:style>
  <w:style w:type="character" w:styleId="1032">
    <w:name w:val="endnote reference"/>
    <w:uiPriority w:val="99"/>
    <w:semiHidden/>
    <w:unhideWhenUsed/>
    <w:rPr>
      <w:vertAlign w:val="superscript"/>
    </w:rPr>
  </w:style>
  <w:style w:type="paragraph" w:styleId="1033">
    <w:name w:val="toc 1"/>
    <w:basedOn w:val="1044"/>
    <w:next w:val="1044"/>
    <w:uiPriority w:val="39"/>
    <w:unhideWhenUsed/>
    <w:pPr>
      <w:ind w:left="0" w:right="0" w:firstLine="0"/>
      <w:spacing w:after="57"/>
    </w:pPr>
  </w:style>
  <w:style w:type="paragraph" w:styleId="1034">
    <w:name w:val="toc 2"/>
    <w:basedOn w:val="1044"/>
    <w:next w:val="1044"/>
    <w:uiPriority w:val="39"/>
    <w:unhideWhenUsed/>
    <w:pPr>
      <w:ind w:left="283" w:right="0" w:firstLine="0"/>
      <w:spacing w:after="57"/>
    </w:pPr>
  </w:style>
  <w:style w:type="paragraph" w:styleId="1035">
    <w:name w:val="toc 3"/>
    <w:basedOn w:val="1044"/>
    <w:next w:val="1044"/>
    <w:uiPriority w:val="39"/>
    <w:unhideWhenUsed/>
    <w:pPr>
      <w:ind w:left="567" w:right="0" w:firstLine="0"/>
      <w:spacing w:after="57"/>
    </w:pPr>
  </w:style>
  <w:style w:type="paragraph" w:styleId="1036">
    <w:name w:val="toc 4"/>
    <w:basedOn w:val="1044"/>
    <w:next w:val="1044"/>
    <w:uiPriority w:val="39"/>
    <w:unhideWhenUsed/>
    <w:pPr>
      <w:ind w:left="850" w:right="0" w:firstLine="0"/>
      <w:spacing w:after="57"/>
    </w:pPr>
  </w:style>
  <w:style w:type="paragraph" w:styleId="1037">
    <w:name w:val="toc 5"/>
    <w:basedOn w:val="1044"/>
    <w:next w:val="1044"/>
    <w:uiPriority w:val="39"/>
    <w:unhideWhenUsed/>
    <w:pPr>
      <w:ind w:left="1134" w:right="0" w:firstLine="0"/>
      <w:spacing w:after="57"/>
    </w:pPr>
  </w:style>
  <w:style w:type="paragraph" w:styleId="1038">
    <w:name w:val="toc 6"/>
    <w:basedOn w:val="1044"/>
    <w:next w:val="1044"/>
    <w:uiPriority w:val="39"/>
    <w:unhideWhenUsed/>
    <w:pPr>
      <w:ind w:left="1417" w:right="0" w:firstLine="0"/>
      <w:spacing w:after="57"/>
    </w:pPr>
  </w:style>
  <w:style w:type="paragraph" w:styleId="1039">
    <w:name w:val="toc 7"/>
    <w:basedOn w:val="1044"/>
    <w:next w:val="1044"/>
    <w:uiPriority w:val="39"/>
    <w:unhideWhenUsed/>
    <w:pPr>
      <w:ind w:left="1701" w:right="0" w:firstLine="0"/>
      <w:spacing w:after="57"/>
    </w:pPr>
  </w:style>
  <w:style w:type="paragraph" w:styleId="1040">
    <w:name w:val="toc 8"/>
    <w:basedOn w:val="1044"/>
    <w:next w:val="1044"/>
    <w:uiPriority w:val="39"/>
    <w:unhideWhenUsed/>
    <w:pPr>
      <w:ind w:left="1984" w:right="0" w:firstLine="0"/>
      <w:spacing w:after="57"/>
    </w:pPr>
  </w:style>
  <w:style w:type="paragraph" w:styleId="1041">
    <w:name w:val="toc 9"/>
    <w:basedOn w:val="1044"/>
    <w:next w:val="1044"/>
    <w:uiPriority w:val="39"/>
    <w:unhideWhenUsed/>
    <w:pPr>
      <w:ind w:left="2268" w:right="0" w:firstLine="0"/>
      <w:spacing w:after="57"/>
    </w:p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rFonts w:eastAsia="微软雅黑"/>
      <w:sz w:val="21"/>
      <w:szCs w:val="22"/>
      <w:lang w:val="en-US" w:eastAsia="zh-CN" w:bidi="ar-SA"/>
    </w:rPr>
  </w:style>
  <w:style w:type="paragraph" w:styleId="1045">
    <w:name w:val="标题 1"/>
    <w:basedOn w:val="1044"/>
    <w:next w:val="1044"/>
    <w:link w:val="1052"/>
    <w:qFormat/>
    <w:pPr>
      <w:jc w:val="center"/>
      <w:keepLines/>
      <w:keepNext/>
      <w:spacing w:before="340" w:after="330" w:line="240" w:lineRule="auto"/>
      <w:outlineLvl w:val="0"/>
    </w:pPr>
    <w:rPr>
      <w:rFonts w:ascii="Calibri" w:hAnsi="Calibri"/>
      <w:b/>
      <w:bCs/>
      <w:sz w:val="32"/>
      <w:szCs w:val="44"/>
    </w:rPr>
  </w:style>
  <w:style w:type="paragraph" w:styleId="1046">
    <w:name w:val="标题 2"/>
    <w:basedOn w:val="1044"/>
    <w:next w:val="1044"/>
    <w:link w:val="1053"/>
    <w:qFormat/>
    <w:pPr>
      <w:jc w:val="center"/>
      <w:keepLines/>
      <w:keepNext/>
      <w:spacing w:before="260" w:after="260" w:line="240" w:lineRule="auto"/>
      <w:outlineLvl w:val="1"/>
    </w:pPr>
    <w:rPr>
      <w:rFonts w:ascii="Cambria" w:hAnsi="Cambria"/>
      <w:b/>
      <w:bCs/>
      <w:sz w:val="28"/>
      <w:szCs w:val="32"/>
    </w:rPr>
  </w:style>
  <w:style w:type="paragraph" w:styleId="1047">
    <w:name w:val="标题 3"/>
    <w:basedOn w:val="1044"/>
    <w:next w:val="1044"/>
    <w:link w:val="1054"/>
    <w:qFormat/>
    <w:pPr>
      <w:jc w:val="center"/>
      <w:keepLines/>
      <w:keepNext/>
      <w:spacing w:before="260" w:after="260" w:line="416" w:lineRule="auto"/>
      <w:outlineLvl w:val="2"/>
    </w:pPr>
    <w:rPr>
      <w:rFonts w:ascii="Calibri" w:hAnsi="Calibri"/>
      <w:bCs/>
      <w:sz w:val="28"/>
      <w:szCs w:val="32"/>
    </w:rPr>
  </w:style>
  <w:style w:type="paragraph" w:styleId="1048">
    <w:name w:val="标题 4"/>
    <w:basedOn w:val="1044"/>
    <w:next w:val="1044"/>
    <w:link w:val="1055"/>
    <w:qFormat/>
    <w:pPr>
      <w:keepLines/>
      <w:keepNext/>
      <w:spacing w:line="360" w:lineRule="auto"/>
      <w:outlineLvl w:val="3"/>
    </w:pPr>
    <w:rPr>
      <w:rFonts w:ascii="Arial" w:hAnsi="Arial" w:eastAsia="宋体"/>
      <w:b/>
      <w:bCs/>
      <w:sz w:val="24"/>
      <w:szCs w:val="28"/>
    </w:rPr>
  </w:style>
  <w:style w:type="paragraph" w:styleId="1049">
    <w:name w:val="标题 5"/>
    <w:basedOn w:val="1044"/>
    <w:next w:val="1044"/>
    <w:link w:val="1056"/>
    <w:qFormat/>
    <w:pPr>
      <w:keepLines/>
      <w:keepNext/>
      <w:spacing w:before="280" w:after="290" w:line="376" w:lineRule="auto"/>
      <w:outlineLvl w:val="4"/>
    </w:pPr>
    <w:rPr>
      <w:rFonts w:ascii="Calibri" w:hAnsi="Calibri" w:eastAsia="宋体"/>
      <w:b/>
      <w:bCs/>
      <w:sz w:val="28"/>
      <w:szCs w:val="28"/>
    </w:rPr>
  </w:style>
  <w:style w:type="character" w:styleId="1050">
    <w:name w:val="默认段落字体"/>
    <w:next w:val="1050"/>
    <w:link w:val="1044"/>
    <w:uiPriority w:val="1"/>
    <w:unhideWhenUsed/>
  </w:style>
  <w:style w:type="table" w:styleId="1051">
    <w:name w:val="普通表格"/>
    <w:next w:val="1051"/>
    <w:link w:val="1044"/>
    <w:uiPriority w:val="99"/>
    <w:unhideWhenUsed/>
    <w:qFormat/>
    <w:tblPr/>
  </w:style>
  <w:style w:type="character" w:styleId="1052">
    <w:name w:val="标题 1 字符"/>
    <w:next w:val="1052"/>
    <w:link w:val="1045"/>
    <w:rPr>
      <w:rFonts w:ascii="Calibri" w:hAnsi="Calibri" w:eastAsia="微软雅黑"/>
      <w:b/>
      <w:bCs/>
      <w:sz w:val="32"/>
      <w:szCs w:val="44"/>
    </w:rPr>
  </w:style>
  <w:style w:type="character" w:styleId="1053">
    <w:name w:val="标题 2 字符"/>
    <w:next w:val="1053"/>
    <w:link w:val="1046"/>
    <w:rPr>
      <w:rFonts w:ascii="Cambria" w:hAnsi="Cambria" w:eastAsia="微软雅黑" w:cs="Times New Roman"/>
      <w:b/>
      <w:bCs/>
      <w:sz w:val="28"/>
      <w:szCs w:val="32"/>
    </w:rPr>
  </w:style>
  <w:style w:type="character" w:styleId="1054">
    <w:name w:val="标题 3 字符"/>
    <w:next w:val="1054"/>
    <w:link w:val="1047"/>
    <w:rPr>
      <w:rFonts w:ascii="Calibri" w:hAnsi="Calibri" w:eastAsia="微软雅黑" w:cs="Times New Roman"/>
      <w:b w:val="0"/>
      <w:bCs/>
      <w:sz w:val="28"/>
      <w:szCs w:val="32"/>
    </w:rPr>
  </w:style>
  <w:style w:type="character" w:styleId="1055">
    <w:name w:val="标题 4 字符"/>
    <w:next w:val="1055"/>
    <w:link w:val="1048"/>
    <w:rPr>
      <w:rFonts w:ascii="Arial" w:hAnsi="Arial"/>
      <w:b/>
      <w:bCs/>
      <w:sz w:val="24"/>
      <w:szCs w:val="28"/>
    </w:rPr>
  </w:style>
  <w:style w:type="character" w:styleId="1056">
    <w:name w:val="标题 5 字符"/>
    <w:next w:val="1056"/>
    <w:link w:val="1049"/>
    <w:rPr>
      <w:rFonts w:ascii="Calibri" w:hAnsi="Calibri"/>
      <w:b/>
      <w:bCs/>
      <w:sz w:val="28"/>
      <w:szCs w:val="28"/>
    </w:rPr>
  </w:style>
  <w:style w:type="paragraph" w:styleId="1057">
    <w:name w:val="目录 7"/>
    <w:basedOn w:val="1044"/>
    <w:next w:val="1044"/>
    <w:link w:val="1044"/>
    <w:pPr>
      <w:ind w:left="2520"/>
    </w:pPr>
    <w:rPr>
      <w:szCs w:val="24"/>
    </w:rPr>
  </w:style>
  <w:style w:type="paragraph" w:styleId="1058">
    <w:name w:val="正文缩进"/>
    <w:basedOn w:val="1044"/>
    <w:next w:val="1058"/>
    <w:link w:val="1044"/>
    <w:pPr>
      <w:ind w:firstLine="420"/>
      <w:jc w:val="left"/>
      <w:spacing w:line="360" w:lineRule="atLeast"/>
    </w:pPr>
    <w:rPr>
      <w:rFonts w:ascii="Times New Roman" w:hAnsi="Times New Roman" w:eastAsia="宋体" w:cs="Times New Roman"/>
      <w:szCs w:val="21"/>
    </w:rPr>
  </w:style>
  <w:style w:type="paragraph" w:styleId="1059">
    <w:name w:val="题注"/>
    <w:basedOn w:val="1044"/>
    <w:next w:val="1044"/>
    <w:link w:val="1044"/>
    <w:uiPriority w:val="35"/>
    <w:qFormat/>
    <w:rPr>
      <w:rFonts w:ascii="Cambria" w:hAnsi="Cambria" w:eastAsia="黑体" w:cs="Times New Roman"/>
      <w:sz w:val="20"/>
      <w:szCs w:val="20"/>
    </w:rPr>
  </w:style>
  <w:style w:type="paragraph" w:styleId="1060">
    <w:name w:val="列表项目符号"/>
    <w:basedOn w:val="1044"/>
    <w:next w:val="1060"/>
    <w:link w:val="1044"/>
    <w:pPr>
      <w:numPr>
        <w:ilvl w:val="0"/>
        <w:numId w:val="1"/>
      </w:numPr>
      <w:spacing w:line="360" w:lineRule="atLeast"/>
      <w:tabs>
        <w:tab w:val="left" w:pos="360" w:leader="none"/>
        <w:tab w:val="left" w:pos="990" w:leader="none"/>
      </w:tabs>
    </w:pPr>
    <w:rPr>
      <w:rFonts w:ascii="Arial" w:hAnsi="Arial"/>
      <w:szCs w:val="21"/>
    </w:rPr>
  </w:style>
  <w:style w:type="paragraph" w:styleId="1061">
    <w:name w:val="文档结构图"/>
    <w:basedOn w:val="1044"/>
    <w:next w:val="1061"/>
    <w:link w:val="1062"/>
    <w:rPr>
      <w:rFonts w:ascii="宋体" w:eastAsia="宋体"/>
      <w:sz w:val="18"/>
      <w:szCs w:val="18"/>
    </w:rPr>
  </w:style>
  <w:style w:type="character" w:styleId="1062">
    <w:name w:val="文档结构图 字符"/>
    <w:next w:val="1062"/>
    <w:link w:val="1061"/>
    <w:rPr>
      <w:rFonts w:ascii="宋体"/>
      <w:sz w:val="18"/>
      <w:szCs w:val="18"/>
    </w:rPr>
  </w:style>
  <w:style w:type="paragraph" w:styleId="1063">
    <w:name w:val="批注文字"/>
    <w:basedOn w:val="1044"/>
    <w:next w:val="1063"/>
    <w:link w:val="1064"/>
    <w:qFormat/>
    <w:pPr>
      <w:jc w:val="left"/>
    </w:pPr>
    <w:rPr>
      <w:rFonts w:eastAsia="宋体"/>
      <w:sz w:val="20"/>
      <w:szCs w:val="21"/>
    </w:rPr>
  </w:style>
  <w:style w:type="character" w:styleId="1064">
    <w:name w:val="批注文字 字符"/>
    <w:next w:val="1064"/>
    <w:link w:val="1063"/>
    <w:semiHidden/>
    <w:rPr>
      <w:rFonts w:ascii="Times New Roman" w:hAnsi="Times New Roman" w:eastAsia="宋体" w:cs="Times New Roman"/>
      <w:szCs w:val="21"/>
    </w:rPr>
  </w:style>
  <w:style w:type="paragraph" w:styleId="1065">
    <w:name w:val="正文文本"/>
    <w:basedOn w:val="1044"/>
    <w:next w:val="1044"/>
    <w:link w:val="1066"/>
    <w:rPr>
      <w:rFonts w:ascii="仿宋_GB2312" w:hAnsi="宋体" w:eastAsia="仿宋_GB2312"/>
      <w:sz w:val="24"/>
      <w:szCs w:val="24"/>
    </w:rPr>
  </w:style>
  <w:style w:type="character" w:styleId="1066">
    <w:name w:val="正文文本 字符"/>
    <w:next w:val="1066"/>
    <w:link w:val="1065"/>
    <w:rPr>
      <w:rFonts w:ascii="仿宋_GB2312" w:hAnsi="宋体" w:eastAsia="仿宋_GB2312" w:cs="仿宋_GB2312"/>
      <w:sz w:val="24"/>
      <w:szCs w:val="24"/>
    </w:rPr>
  </w:style>
  <w:style w:type="paragraph" w:styleId="1067">
    <w:name w:val="正文文本缩进"/>
    <w:basedOn w:val="1044"/>
    <w:next w:val="1067"/>
    <w:link w:val="1068"/>
    <w:pPr>
      <w:ind w:firstLine="403"/>
      <w:spacing w:line="440" w:lineRule="exact"/>
    </w:pPr>
    <w:rPr>
      <w:rFonts w:ascii="宋体" w:hAnsi="宋体" w:eastAsia="宋体"/>
      <w:sz w:val="20"/>
      <w:szCs w:val="21"/>
    </w:rPr>
  </w:style>
  <w:style w:type="character" w:styleId="1068">
    <w:name w:val="正文文本缩进 字符"/>
    <w:next w:val="1068"/>
    <w:link w:val="1067"/>
    <w:rPr>
      <w:rFonts w:ascii="宋体" w:hAnsi="宋体" w:eastAsia="宋体" w:cs="宋体"/>
      <w:szCs w:val="21"/>
    </w:rPr>
  </w:style>
  <w:style w:type="paragraph" w:styleId="1069">
    <w:name w:val="文本块"/>
    <w:basedOn w:val="1044"/>
    <w:next w:val="1044"/>
    <w:link w:val="1044"/>
    <w:uiPriority w:val="99"/>
    <w:unhideWhenUsed/>
    <w:pPr>
      <w:ind w:left="1440" w:right="1440"/>
      <w:spacing w:after="120"/>
    </w:pPr>
  </w:style>
  <w:style w:type="paragraph" w:styleId="1070">
    <w:name w:val="索引 4"/>
    <w:basedOn w:val="1044"/>
    <w:next w:val="1044"/>
    <w:link w:val="1044"/>
    <w:uiPriority w:val="99"/>
    <w:unhideWhenUsed/>
    <w:pPr>
      <w:ind w:left="600"/>
    </w:pPr>
    <w:rPr>
      <w:rFonts w:ascii="Verdana" w:hAnsi="Verdana"/>
      <w:szCs w:val="20"/>
    </w:rPr>
  </w:style>
  <w:style w:type="paragraph" w:styleId="1071">
    <w:name w:val="目录 5"/>
    <w:basedOn w:val="1044"/>
    <w:next w:val="1044"/>
    <w:link w:val="1044"/>
    <w:pPr>
      <w:ind w:left="1680"/>
    </w:pPr>
    <w:rPr>
      <w:szCs w:val="24"/>
    </w:rPr>
  </w:style>
  <w:style w:type="paragraph" w:styleId="1072">
    <w:name w:val="目录 3"/>
    <w:basedOn w:val="1044"/>
    <w:next w:val="1044"/>
    <w:link w:val="1044"/>
    <w:uiPriority w:val="39"/>
    <w:unhideWhenUsed/>
    <w:pPr>
      <w:ind w:left="840"/>
      <w:spacing w:line="360" w:lineRule="exact"/>
    </w:pPr>
    <w:rPr>
      <w:rFonts w:ascii="Calibri" w:hAnsi="Calibri" w:eastAsia="宋体" w:cs="Times New Roman"/>
    </w:rPr>
  </w:style>
  <w:style w:type="paragraph" w:styleId="1073">
    <w:name w:val="纯文本"/>
    <w:basedOn w:val="1044"/>
    <w:next w:val="1073"/>
    <w:link w:val="1074"/>
    <w:qFormat/>
    <w:rPr>
      <w:rFonts w:ascii="宋体" w:hAnsi="Courier New" w:eastAsia="宋体"/>
      <w:sz w:val="28"/>
      <w:szCs w:val="28"/>
    </w:rPr>
  </w:style>
  <w:style w:type="character" w:styleId="1074">
    <w:name w:val="纯文本 字符"/>
    <w:next w:val="1074"/>
    <w:link w:val="1073"/>
    <w:qFormat/>
    <w:rPr>
      <w:rFonts w:ascii="宋体" w:hAnsi="Courier New" w:eastAsia="宋体" w:cs="宋体"/>
      <w:sz w:val="28"/>
      <w:szCs w:val="28"/>
    </w:rPr>
  </w:style>
  <w:style w:type="paragraph" w:styleId="1075">
    <w:name w:val="目录 8"/>
    <w:basedOn w:val="1044"/>
    <w:next w:val="1044"/>
    <w:link w:val="1044"/>
    <w:pPr>
      <w:ind w:left="2940"/>
    </w:pPr>
    <w:rPr>
      <w:szCs w:val="24"/>
    </w:rPr>
  </w:style>
  <w:style w:type="paragraph" w:styleId="1076">
    <w:name w:val="日期"/>
    <w:basedOn w:val="1044"/>
    <w:next w:val="1044"/>
    <w:link w:val="1077"/>
    <w:pPr>
      <w:ind w:left="100"/>
    </w:pPr>
    <w:rPr>
      <w:rFonts w:eastAsia="宋体"/>
      <w:sz w:val="20"/>
      <w:szCs w:val="21"/>
    </w:rPr>
  </w:style>
  <w:style w:type="character" w:styleId="1077">
    <w:name w:val="日期 字符"/>
    <w:next w:val="1077"/>
    <w:link w:val="1076"/>
    <w:rPr>
      <w:rFonts w:ascii="Times New Roman" w:hAnsi="Times New Roman" w:eastAsia="宋体" w:cs="Times New Roman"/>
      <w:szCs w:val="21"/>
    </w:rPr>
  </w:style>
  <w:style w:type="paragraph" w:styleId="1078">
    <w:name w:val="正文文本缩进 2"/>
    <w:basedOn w:val="1044"/>
    <w:next w:val="1078"/>
    <w:link w:val="1079"/>
    <w:pPr>
      <w:ind w:firstLine="420"/>
      <w:spacing w:line="440" w:lineRule="exact"/>
    </w:pPr>
    <w:rPr>
      <w:rFonts w:ascii="宋体" w:hAnsi="宋体" w:eastAsia="宋体"/>
      <w:sz w:val="20"/>
      <w:szCs w:val="21"/>
    </w:rPr>
  </w:style>
  <w:style w:type="character" w:styleId="1079">
    <w:name w:val="正文文本缩进 2 字符"/>
    <w:next w:val="1079"/>
    <w:link w:val="1078"/>
    <w:rPr>
      <w:rFonts w:ascii="宋体" w:hAnsi="宋体" w:eastAsia="宋体" w:cs="宋体"/>
      <w:szCs w:val="21"/>
    </w:rPr>
  </w:style>
  <w:style w:type="paragraph" w:styleId="1080">
    <w:name w:val="批注框文本"/>
    <w:basedOn w:val="1044"/>
    <w:next w:val="1080"/>
    <w:link w:val="1081"/>
    <w:semiHidden/>
    <w:rPr>
      <w:rFonts w:eastAsia="宋体"/>
      <w:sz w:val="18"/>
      <w:szCs w:val="18"/>
    </w:rPr>
  </w:style>
  <w:style w:type="character" w:styleId="1081">
    <w:name w:val="批注框文本 字符"/>
    <w:next w:val="1081"/>
    <w:link w:val="1080"/>
    <w:semiHidden/>
    <w:rPr>
      <w:rFonts w:ascii="Times New Roman" w:hAnsi="Times New Roman" w:eastAsia="宋体" w:cs="Times New Roman"/>
      <w:sz w:val="18"/>
      <w:szCs w:val="18"/>
    </w:rPr>
  </w:style>
  <w:style w:type="paragraph" w:styleId="1082">
    <w:name w:val="页脚"/>
    <w:basedOn w:val="1044"/>
    <w:next w:val="1082"/>
    <w:link w:val="1083"/>
    <w:uiPriority w:val="99"/>
    <w:unhideWhenUsed/>
    <w:pPr>
      <w:jc w:val="left"/>
      <w:tabs>
        <w:tab w:val="center" w:pos="4153" w:leader="none"/>
        <w:tab w:val="right" w:pos="8306" w:leader="none"/>
      </w:tabs>
    </w:pPr>
    <w:rPr>
      <w:rFonts w:ascii="宋体" w:eastAsia="宋体"/>
      <w:sz w:val="18"/>
      <w:szCs w:val="18"/>
    </w:rPr>
  </w:style>
  <w:style w:type="character" w:styleId="1083">
    <w:name w:val="页脚 字符"/>
    <w:next w:val="1083"/>
    <w:link w:val="1082"/>
    <w:uiPriority w:val="99"/>
    <w:rPr>
      <w:rFonts w:ascii="宋体" w:hAnsi="Times New Roman" w:eastAsia="宋体" w:cs="Times New Roman"/>
      <w:sz w:val="18"/>
      <w:szCs w:val="18"/>
    </w:rPr>
  </w:style>
  <w:style w:type="paragraph" w:styleId="1084">
    <w:name w:val="寄信人地址"/>
    <w:basedOn w:val="1044"/>
    <w:next w:val="1084"/>
    <w:link w:val="1044"/>
    <w:qFormat/>
    <w:rPr>
      <w:rFonts w:ascii="Arial" w:hAnsi="Arial"/>
    </w:rPr>
  </w:style>
  <w:style w:type="paragraph" w:styleId="1085">
    <w:name w:val="页眉"/>
    <w:basedOn w:val="1044"/>
    <w:next w:val="1085"/>
    <w:link w:val="1086"/>
    <w:uiPriority w:val="99"/>
    <w:unhideWhenUsed/>
    <w:pPr>
      <w:jc w:val="center"/>
      <w:tabs>
        <w:tab w:val="center" w:pos="4153" w:leader="none"/>
        <w:tab w:val="right" w:pos="8306" w:leader="none"/>
      </w:tabs>
      <w:pBdr>
        <w:bottom w:val="single" w:color="000000" w:sz="6" w:space="1"/>
      </w:pBdr>
    </w:pPr>
    <w:rPr>
      <w:rFonts w:ascii="宋体" w:eastAsia="宋体"/>
      <w:sz w:val="18"/>
      <w:szCs w:val="18"/>
    </w:rPr>
  </w:style>
  <w:style w:type="character" w:styleId="1086">
    <w:name w:val="页眉 字符"/>
    <w:next w:val="1086"/>
    <w:link w:val="1085"/>
    <w:uiPriority w:val="99"/>
    <w:rPr>
      <w:rFonts w:ascii="宋体" w:hAnsi="Times New Roman" w:eastAsia="宋体" w:cs="Times New Roman"/>
      <w:sz w:val="18"/>
      <w:szCs w:val="18"/>
    </w:rPr>
  </w:style>
  <w:style w:type="paragraph" w:styleId="1087">
    <w:name w:val="目录 1"/>
    <w:basedOn w:val="1044"/>
    <w:next w:val="1044"/>
    <w:link w:val="1044"/>
    <w:uiPriority w:val="39"/>
    <w:unhideWhenUsed/>
    <w:pPr>
      <w:spacing w:line="360" w:lineRule="exact"/>
    </w:pPr>
    <w:rPr>
      <w:rFonts w:ascii="Calibri" w:hAnsi="Calibri" w:eastAsia="宋体" w:cs="Times New Roman"/>
    </w:rPr>
  </w:style>
  <w:style w:type="paragraph" w:styleId="1088">
    <w:name w:val="目录 4"/>
    <w:basedOn w:val="1044"/>
    <w:next w:val="1044"/>
    <w:link w:val="1044"/>
    <w:pPr>
      <w:ind w:left="1260"/>
    </w:pPr>
    <w:rPr>
      <w:szCs w:val="24"/>
    </w:rPr>
  </w:style>
  <w:style w:type="paragraph" w:styleId="1089">
    <w:name w:val="目录 6"/>
    <w:basedOn w:val="1044"/>
    <w:next w:val="1044"/>
    <w:link w:val="1044"/>
    <w:pPr>
      <w:ind w:left="2100"/>
    </w:pPr>
    <w:rPr>
      <w:szCs w:val="24"/>
    </w:rPr>
  </w:style>
  <w:style w:type="paragraph" w:styleId="1090">
    <w:name w:val="图表目录"/>
    <w:basedOn w:val="1044"/>
    <w:next w:val="1044"/>
    <w:link w:val="1044"/>
    <w:qFormat/>
    <w:pPr>
      <w:ind w:left="840" w:hanging="840"/>
      <w:jc w:val="left"/>
      <w:spacing w:line="360" w:lineRule="atLeast"/>
      <w:tabs>
        <w:tab w:val="right" w:pos="13438" w:leader="dot"/>
      </w:tabs>
    </w:pPr>
    <w:rPr>
      <w:sz w:val="24"/>
    </w:rPr>
  </w:style>
  <w:style w:type="paragraph" w:styleId="1091">
    <w:name w:val="目录 2"/>
    <w:basedOn w:val="1044"/>
    <w:next w:val="1044"/>
    <w:link w:val="1044"/>
    <w:uiPriority w:val="39"/>
    <w:unhideWhenUsed/>
    <w:pPr>
      <w:ind w:left="420"/>
      <w:spacing w:line="360" w:lineRule="exact"/>
    </w:pPr>
    <w:rPr>
      <w:rFonts w:ascii="Calibri" w:hAnsi="Calibri" w:eastAsia="宋体" w:cs="Times New Roman"/>
    </w:rPr>
  </w:style>
  <w:style w:type="paragraph" w:styleId="1092">
    <w:name w:val="目录 9"/>
    <w:basedOn w:val="1044"/>
    <w:next w:val="1044"/>
    <w:link w:val="1044"/>
    <w:pPr>
      <w:ind w:left="3360"/>
    </w:pPr>
    <w:rPr>
      <w:szCs w:val="24"/>
    </w:rPr>
  </w:style>
  <w:style w:type="paragraph" w:styleId="1093">
    <w:name w:val="普通(网站)"/>
    <w:basedOn w:val="1044"/>
    <w:next w:val="1093"/>
    <w:link w:val="1044"/>
    <w:unhideWhenUsed/>
    <w:pPr>
      <w:jc w:val="left"/>
      <w:spacing w:before="100" w:beforeAutospacing="1" w:after="100" w:afterAutospacing="1"/>
      <w:widowControl/>
    </w:pPr>
    <w:rPr>
      <w:rFonts w:ascii="宋体" w:hAnsi="宋体" w:eastAsia="宋体" w:cs="宋体"/>
      <w:sz w:val="24"/>
      <w:szCs w:val="24"/>
    </w:rPr>
  </w:style>
  <w:style w:type="paragraph" w:styleId="1094">
    <w:name w:val="批注主题"/>
    <w:basedOn w:val="1063"/>
    <w:next w:val="1063"/>
    <w:link w:val="1095"/>
    <w:uiPriority w:val="99"/>
    <w:unhideWhenUsed/>
    <w:rPr>
      <w:b/>
      <w:bCs/>
      <w:sz w:val="21"/>
      <w:szCs w:val="22"/>
    </w:rPr>
  </w:style>
  <w:style w:type="character" w:styleId="1095">
    <w:name w:val="批注主题 字符"/>
    <w:next w:val="1095"/>
    <w:link w:val="1094"/>
    <w:uiPriority w:val="99"/>
    <w:semiHidden/>
    <w:rPr>
      <w:rFonts w:ascii="Times New Roman" w:hAnsi="Times New Roman" w:eastAsia="宋体" w:cs="Times New Roman"/>
      <w:b/>
      <w:bCs/>
      <w:sz w:val="21"/>
      <w:szCs w:val="22"/>
    </w:rPr>
  </w:style>
  <w:style w:type="table" w:styleId="1096">
    <w:name w:val="网格型"/>
    <w:basedOn w:val="1051"/>
    <w:next w:val="1096"/>
    <w:link w:val="1044"/>
    <w:tblPr/>
  </w:style>
  <w:style w:type="character" w:styleId="1097">
    <w:name w:val="要点"/>
    <w:next w:val="1097"/>
    <w:link w:val="1044"/>
    <w:qFormat/>
    <w:rPr>
      <w:b/>
      <w:bCs/>
    </w:rPr>
  </w:style>
  <w:style w:type="character" w:styleId="1098">
    <w:name w:val="页码"/>
    <w:next w:val="1098"/>
    <w:link w:val="1044"/>
  </w:style>
  <w:style w:type="character" w:styleId="1099">
    <w:name w:val="已访问的超链接"/>
    <w:next w:val="1099"/>
    <w:link w:val="1044"/>
    <w:uiPriority w:val="99"/>
    <w:rPr>
      <w:color w:val="000000"/>
      <w:sz w:val="18"/>
      <w:szCs w:val="18"/>
      <w:u w:val="none"/>
    </w:rPr>
  </w:style>
  <w:style w:type="character" w:styleId="1100">
    <w:name w:val="强调"/>
    <w:next w:val="1100"/>
    <w:link w:val="1044"/>
    <w:uiPriority w:val="20"/>
    <w:qFormat/>
    <w:rPr>
      <w:i/>
      <w:iCs/>
    </w:rPr>
  </w:style>
  <w:style w:type="character" w:styleId="1101">
    <w:name w:val="超链接"/>
    <w:next w:val="1101"/>
    <w:link w:val="1044"/>
    <w:uiPriority w:val="99"/>
    <w:rPr>
      <w:color w:val="000000"/>
      <w:sz w:val="18"/>
      <w:szCs w:val="18"/>
      <w:u w:val="none"/>
    </w:rPr>
  </w:style>
  <w:style w:type="character" w:styleId="1102">
    <w:name w:val="批注引用"/>
    <w:next w:val="1102"/>
    <w:link w:val="1044"/>
    <w:semiHidden/>
    <w:rPr>
      <w:sz w:val="21"/>
      <w:szCs w:val="21"/>
    </w:rPr>
  </w:style>
  <w:style w:type="paragraph" w:styleId="1103">
    <w:name w:val="列出段落"/>
    <w:basedOn w:val="1044"/>
    <w:next w:val="1103"/>
    <w:link w:val="1044"/>
    <w:uiPriority w:val="34"/>
    <w:qFormat/>
    <w:pPr>
      <w:ind w:firstLine="420"/>
    </w:pPr>
    <w:rPr>
      <w:szCs w:val="24"/>
    </w:rPr>
  </w:style>
  <w:style w:type="character" w:styleId="1104">
    <w:name w:val="selected"/>
    <w:next w:val="1104"/>
    <w:link w:val="1044"/>
    <w:rPr>
      <w:shd w:val="clear" w:color="auto" w:fill="b00006"/>
    </w:rPr>
  </w:style>
  <w:style w:type="character" w:styleId="1105">
    <w:name w:val="font51"/>
    <w:next w:val="1105"/>
    <w:link w:val="1044"/>
    <w:qFormat/>
    <w:rPr>
      <w:rFonts w:hint="eastAsia" w:ascii="宋体" w:hAnsi="宋体" w:eastAsia="宋体" w:cs="宋体"/>
      <w:color w:val="000000"/>
      <w:sz w:val="21"/>
      <w:szCs w:val="21"/>
      <w:u w:val="none"/>
    </w:rPr>
  </w:style>
  <w:style w:type="character" w:styleId="1106">
    <w:name w:val="z-窗体底端 字符"/>
    <w:next w:val="1106"/>
    <w:link w:val="1107"/>
    <w:uiPriority w:val="99"/>
    <w:semiHidden/>
    <w:rPr>
      <w:rFonts w:ascii="Arial" w:hAnsi="Arial" w:eastAsia="宋体" w:cs="Arial"/>
      <w:vanish/>
      <w:sz w:val="16"/>
      <w:szCs w:val="16"/>
    </w:rPr>
  </w:style>
  <w:style w:type="paragraph" w:styleId="1107">
    <w:name w:val="z-窗体底端"/>
    <w:basedOn w:val="1044"/>
    <w:next w:val="1044"/>
    <w:link w:val="1106"/>
    <w:uiPriority w:val="99"/>
    <w:unhideWhenUsed/>
    <w:pPr>
      <w:jc w:val="center"/>
      <w:widowControl/>
      <w:pBdr>
        <w:top w:val="single" w:color="000000" w:sz="6" w:space="1"/>
      </w:pBdr>
    </w:pPr>
    <w:rPr>
      <w:rFonts w:ascii="Arial" w:hAnsi="Arial" w:eastAsia="宋体"/>
      <w:vanish/>
      <w:sz w:val="16"/>
      <w:szCs w:val="16"/>
    </w:rPr>
  </w:style>
  <w:style w:type="character" w:styleId="1108">
    <w:name w:val="正文文字 Char Char,正文文字 Char1,bt Char,body text Char,?y????×? Char,上海中望标准正文文字 Char,ändrad Char,b Char Char"/>
    <w:next w:val="1108"/>
    <w:link w:val="1044"/>
    <w:rPr>
      <w:rFonts w:ascii="仿宋_GB2312" w:hAnsi="宋体" w:eastAsia="仿宋_GB2312" w:cs="仿宋_GB2312"/>
      <w:sz w:val="24"/>
      <w:szCs w:val="24"/>
    </w:rPr>
  </w:style>
  <w:style w:type="character" w:styleId="1109">
    <w:name w:val="label"/>
    <w:next w:val="1109"/>
    <w:link w:val="1044"/>
    <w:rPr>
      <w:color w:val="999999"/>
    </w:rPr>
  </w:style>
  <w:style w:type="character" w:styleId="1110">
    <w:name w:val="Char Char5"/>
    <w:next w:val="1110"/>
    <w:link w:val="1044"/>
    <w:rPr>
      <w:rFonts w:ascii="宋体" w:hAnsi="Courier New" w:eastAsia="宋体" w:cs="宋体"/>
      <w:sz w:val="28"/>
      <w:szCs w:val="28"/>
      <w:lang w:val="en-US" w:eastAsia="zh-CN"/>
    </w:rPr>
  </w:style>
  <w:style w:type="character" w:styleId="1111">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11"/>
    <w:link w:val="1044"/>
    <w:rPr>
      <w:rFonts w:ascii="宋体" w:hAnsi="Courier New" w:eastAsia="宋体"/>
      <w:sz w:val="24"/>
      <w:lang w:val="en-US" w:eastAsia="zh-CN" w:bidi="ar-SA"/>
    </w:rPr>
  </w:style>
  <w:style w:type="character" w:styleId="1112">
    <w:name w:val="z-窗体顶端 字符"/>
    <w:next w:val="1112"/>
    <w:link w:val="1113"/>
    <w:uiPriority w:val="99"/>
    <w:semiHidden/>
    <w:rPr>
      <w:rFonts w:ascii="Arial" w:hAnsi="Arial" w:eastAsia="宋体" w:cs="Arial"/>
      <w:vanish/>
      <w:sz w:val="16"/>
      <w:szCs w:val="16"/>
    </w:rPr>
  </w:style>
  <w:style w:type="paragraph" w:styleId="1113">
    <w:name w:val="z-窗体顶端"/>
    <w:basedOn w:val="1044"/>
    <w:next w:val="1044"/>
    <w:link w:val="1112"/>
    <w:uiPriority w:val="99"/>
    <w:unhideWhenUsed/>
    <w:pPr>
      <w:jc w:val="center"/>
      <w:widowControl/>
      <w:pBdr>
        <w:bottom w:val="single" w:color="000000" w:sz="6" w:space="1"/>
      </w:pBdr>
    </w:pPr>
    <w:rPr>
      <w:rFonts w:ascii="Arial" w:hAnsi="Arial" w:eastAsia="宋体"/>
      <w:vanish/>
      <w:sz w:val="16"/>
      <w:szCs w:val="16"/>
    </w:rPr>
  </w:style>
  <w:style w:type="character" w:styleId="1114">
    <w:name w:val="displayarti"/>
    <w:next w:val="1114"/>
    <w:link w:val="1044"/>
    <w:rPr>
      <w:color w:val="ffffff"/>
      <w:shd w:val="clear" w:color="auto" w:fill="a00000"/>
    </w:rPr>
  </w:style>
  <w:style w:type="character" w:styleId="1115">
    <w:name w:val="不明显强调"/>
    <w:next w:val="1115"/>
    <w:link w:val="1044"/>
    <w:uiPriority w:val="19"/>
    <w:qFormat/>
    <w:rPr>
      <w:i/>
      <w:iCs/>
      <w:color w:val="808080"/>
    </w:rPr>
  </w:style>
  <w:style w:type="character" w:styleId="1116">
    <w:name w:val="font01"/>
    <w:next w:val="1116"/>
    <w:link w:val="1044"/>
    <w:qFormat/>
    <w:rPr>
      <w:rFonts w:ascii="Calibri" w:hAnsi="Calibri" w:cs="Calibri"/>
      <w:color w:val="000000"/>
      <w:sz w:val="21"/>
      <w:szCs w:val="21"/>
      <w:u w:val="none"/>
    </w:rPr>
  </w:style>
  <w:style w:type="character" w:styleId="1117">
    <w:name w:val="gpa"/>
    <w:next w:val="1117"/>
    <w:link w:val="1044"/>
    <w:rPr>
      <w:rFonts w:ascii="Arial" w:hAnsi="Arial" w:cs="Arial"/>
      <w:sz w:val="15"/>
      <w:szCs w:val="15"/>
    </w:rPr>
  </w:style>
  <w:style w:type="character" w:styleId="1118">
    <w:name w:val="hover12"/>
    <w:next w:val="1118"/>
    <w:link w:val="1044"/>
  </w:style>
  <w:style w:type="character" w:styleId="1119">
    <w:name w:val=" Char Char13"/>
    <w:next w:val="1119"/>
    <w:link w:val="1044"/>
    <w:rPr>
      <w:b/>
      <w:bCs/>
      <w:sz w:val="44"/>
      <w:szCs w:val="44"/>
    </w:rPr>
  </w:style>
  <w:style w:type="character" w:styleId="1120">
    <w:name w:val="1page sec3 Char,Footer-Even Char,FtrF Char,fo Char,footer odd Char,odd Char,footer Final Char Char"/>
    <w:next w:val="1120"/>
    <w:link w:val="1044"/>
    <w:rPr>
      <w:rFonts w:eastAsia="宋体"/>
      <w:sz w:val="18"/>
      <w:szCs w:val="18"/>
      <w:lang w:val="en-US" w:eastAsia="zh-CN" w:bidi="ar-SA"/>
    </w:rPr>
  </w:style>
  <w:style w:type="character" w:styleId="1121">
    <w:name w:val="layui-laypage-curr"/>
    <w:next w:val="1121"/>
    <w:link w:val="1044"/>
  </w:style>
  <w:style w:type="character" w:styleId="1122">
    <w:name w:val="apple-style-span"/>
    <w:next w:val="1122"/>
    <w:link w:val="1044"/>
  </w:style>
  <w:style w:type="character" w:styleId="1123">
    <w:name w:val="文档结构图 Char1"/>
    <w:next w:val="1123"/>
    <w:link w:val="1044"/>
    <w:uiPriority w:val="99"/>
    <w:semiHidden/>
    <w:rPr>
      <w:rFonts w:ascii="宋体"/>
      <w:sz w:val="18"/>
      <w:szCs w:val="18"/>
    </w:rPr>
  </w:style>
  <w:style w:type="character" w:styleId="1124">
    <w:name w:val="_Style 6"/>
    <w:next w:val="1124"/>
    <w:link w:val="1044"/>
    <w:uiPriority w:val="19"/>
    <w:qFormat/>
    <w:rPr>
      <w:i/>
      <w:iCs/>
      <w:color w:val="808080"/>
    </w:rPr>
  </w:style>
  <w:style w:type="paragraph" w:styleId="1125">
    <w:name w:val="xl89"/>
    <w:basedOn w:val="1044"/>
    <w:next w:val="1125"/>
    <w:link w:val="1044"/>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26">
    <w:name w:val="TOC 标题"/>
    <w:basedOn w:val="1045"/>
    <w:next w:val="1044"/>
    <w:link w:val="1044"/>
    <w:uiPriority w:val="39"/>
    <w:qFormat/>
    <w:pPr>
      <w:jc w:val="left"/>
      <w:spacing w:before="480" w:after="0" w:line="276" w:lineRule="auto"/>
      <w:widowControl/>
      <w:outlineLvl w:val="9"/>
    </w:pPr>
    <w:rPr>
      <w:rFonts w:ascii="Cambria" w:hAnsi="Cambria"/>
      <w:color w:val="365f91"/>
      <w:sz w:val="28"/>
      <w:szCs w:val="28"/>
    </w:rPr>
  </w:style>
  <w:style w:type="paragraph" w:styleId="1127">
    <w:name w:val="xl87"/>
    <w:basedOn w:val="1044"/>
    <w:next w:val="1127"/>
    <w:link w:val="1044"/>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28">
    <w:name w:val="修订"/>
    <w:next w:val="1128"/>
    <w:link w:val="1044"/>
    <w:uiPriority w:val="99"/>
    <w:unhideWhenUsed/>
    <w:rPr>
      <w:rFonts w:eastAsia="微软雅黑"/>
      <w:sz w:val="21"/>
      <w:szCs w:val="22"/>
      <w:lang w:val="en-US" w:eastAsia="zh-CN" w:bidi="ar-SA"/>
    </w:rPr>
  </w:style>
  <w:style w:type="paragraph" w:styleId="1129">
    <w:name w:val="xl75"/>
    <w:basedOn w:val="1044"/>
    <w:next w:val="1129"/>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30">
    <w:name w:val="前言、引言标题"/>
    <w:next w:val="1044"/>
    <w:link w:val="1044"/>
    <w:pPr>
      <w:jc w:val="center"/>
      <w:spacing w:before="640" w:after="560"/>
      <w:shd w:val="clear" w:color="ffffff" w:fill="ffffff"/>
      <w:outlineLvl w:val="0"/>
    </w:pPr>
    <w:rPr>
      <w:rFonts w:ascii="黑体" w:eastAsia="黑体" w:cs="黑体"/>
      <w:sz w:val="32"/>
      <w:szCs w:val="32"/>
      <w:lang w:val="en-US" w:eastAsia="zh-CN" w:bidi="ar-SA"/>
    </w:rPr>
  </w:style>
  <w:style w:type="paragraph" w:styleId="1131">
    <w:name w:val=" Char Char"/>
    <w:basedOn w:val="1044"/>
    <w:next w:val="1131"/>
    <w:link w:val="1044"/>
    <w:pPr>
      <w:tabs>
        <w:tab w:val="left" w:pos="360" w:leader="none"/>
      </w:tabs>
    </w:pPr>
    <w:rPr>
      <w:sz w:val="24"/>
      <w:szCs w:val="24"/>
    </w:rPr>
  </w:style>
  <w:style w:type="paragraph" w:styleId="1132">
    <w:name w:val="xl103"/>
    <w:basedOn w:val="1044"/>
    <w:next w:val="1132"/>
    <w:link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33">
    <w:name w:val="List Paragraph1"/>
    <w:basedOn w:val="1044"/>
    <w:next w:val="1133"/>
    <w:link w:val="1044"/>
    <w:uiPriority w:val="34"/>
    <w:qFormat/>
    <w:pPr>
      <w:ind w:firstLine="420"/>
    </w:pPr>
    <w:rPr>
      <w:rFonts w:ascii="Calibri" w:hAnsi="Calibri" w:eastAsia="宋体" w:cs="Times New Roman"/>
      <w:szCs w:val="22"/>
    </w:rPr>
  </w:style>
  <w:style w:type="paragraph" w:styleId="1134">
    <w:name w:val="xl101"/>
    <w:basedOn w:val="1044"/>
    <w:next w:val="1134"/>
    <w:link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5">
    <w:name w:val="章标题"/>
    <w:next w:val="1044"/>
    <w:link w:val="1044"/>
    <w:pPr>
      <w:jc w:val="both"/>
      <w:outlineLvl w:val="1"/>
    </w:pPr>
    <w:rPr>
      <w:rFonts w:ascii="黑体" w:eastAsia="黑体" w:cs="黑体"/>
      <w:sz w:val="21"/>
      <w:szCs w:val="21"/>
      <w:lang w:val="en-US" w:eastAsia="zh-CN" w:bidi="ar-SA"/>
    </w:rPr>
  </w:style>
  <w:style w:type="paragraph" w:styleId="1136">
    <w:name w:val="font12"/>
    <w:basedOn w:val="1044"/>
    <w:next w:val="1136"/>
    <w:link w:val="1044"/>
    <w:pPr>
      <w:jc w:val="left"/>
      <w:spacing w:before="100" w:beforeAutospacing="1" w:after="100" w:afterAutospacing="1"/>
      <w:widowControl/>
    </w:pPr>
    <w:rPr>
      <w:rFonts w:ascii="宋体" w:hAnsi="宋体" w:cs="宋体"/>
      <w:color w:val="000000"/>
      <w:sz w:val="20"/>
      <w:szCs w:val="20"/>
    </w:rPr>
  </w:style>
  <w:style w:type="paragraph" w:styleId="1137">
    <w:name w:val="xl97"/>
    <w:basedOn w:val="1044"/>
    <w:next w:val="1137"/>
    <w:link w:val="1044"/>
    <w:pPr>
      <w:jc w:val="left"/>
      <w:spacing w:before="100" w:beforeAutospacing="1" w:after="100" w:afterAutospacing="1"/>
      <w:widowControl/>
    </w:pPr>
    <w:rPr>
      <w:rFonts w:ascii="宋体" w:hAnsi="宋体" w:cs="宋体"/>
      <w:szCs w:val="21"/>
    </w:rPr>
  </w:style>
  <w:style w:type="paragraph" w:styleId="1138">
    <w:name w:val="xl92"/>
    <w:basedOn w:val="1044"/>
    <w:next w:val="1138"/>
    <w:link w:val="1044"/>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39">
    <w:name w:val="五级条标题"/>
    <w:basedOn w:val="1140"/>
    <w:next w:val="1044"/>
    <w:link w:val="1044"/>
    <w:pPr>
      <w:outlineLvl w:val="6"/>
    </w:pPr>
  </w:style>
  <w:style w:type="paragraph" w:styleId="1140">
    <w:name w:val="四级条标题"/>
    <w:basedOn w:val="1141"/>
    <w:next w:val="1044"/>
    <w:link w:val="1044"/>
    <w:pPr>
      <w:outlineLvl w:val="5"/>
    </w:pPr>
  </w:style>
  <w:style w:type="paragraph" w:styleId="1141">
    <w:name w:val="三级条标题"/>
    <w:basedOn w:val="1142"/>
    <w:next w:val="1144"/>
    <w:link w:val="1044"/>
    <w:pPr>
      <w:outlineLvl w:val="4"/>
    </w:pPr>
  </w:style>
  <w:style w:type="paragraph" w:styleId="1142">
    <w:name w:val="二级条标题"/>
    <w:basedOn w:val="1143"/>
    <w:next w:val="1144"/>
    <w:link w:val="1044"/>
    <w:pPr>
      <w:outlineLvl w:val="3"/>
    </w:pPr>
  </w:style>
  <w:style w:type="paragraph" w:styleId="1143">
    <w:name w:val="一级条标题"/>
    <w:next w:val="1144"/>
    <w:link w:val="1044"/>
    <w:pPr>
      <w:outlineLvl w:val="2"/>
    </w:pPr>
    <w:rPr>
      <w:rFonts w:eastAsia="黑体"/>
      <w:sz w:val="21"/>
      <w:szCs w:val="21"/>
      <w:lang w:val="en-US" w:eastAsia="zh-CN" w:bidi="ar-SA"/>
    </w:rPr>
  </w:style>
  <w:style w:type="paragraph" w:styleId="1144">
    <w:name w:val="段"/>
    <w:next w:val="1144"/>
    <w:link w:val="1044"/>
    <w:pPr>
      <w:ind w:firstLine="200"/>
      <w:jc w:val="both"/>
    </w:pPr>
    <w:rPr>
      <w:rFonts w:ascii="宋体" w:cs="宋体"/>
      <w:sz w:val="21"/>
      <w:szCs w:val="21"/>
      <w:lang w:val="en-US" w:eastAsia="zh-CN" w:bidi="ar-SA"/>
    </w:rPr>
  </w:style>
  <w:style w:type="paragraph" w:styleId="1145">
    <w:name w:val="font9"/>
    <w:basedOn w:val="1044"/>
    <w:next w:val="1145"/>
    <w:link w:val="1044"/>
    <w:pPr>
      <w:jc w:val="left"/>
      <w:spacing w:before="100" w:beforeAutospacing="1" w:after="100" w:afterAutospacing="1"/>
      <w:widowControl/>
    </w:pPr>
    <w:rPr>
      <w:rFonts w:ascii="宋体" w:hAnsi="宋体" w:cs="宋体"/>
      <w:color w:val="000000"/>
      <w:szCs w:val="21"/>
    </w:rPr>
  </w:style>
  <w:style w:type="paragraph" w:styleId="1146">
    <w:name w:val="字母编号"/>
    <w:next w:val="1146"/>
    <w:link w:val="1044"/>
    <w:pPr>
      <w:numPr>
        <w:ilvl w:val="2"/>
        <w:numId w:val="2"/>
      </w:numPr>
      <w:tabs>
        <w:tab w:val="left" w:pos="360" w:leader="none"/>
      </w:tabs>
    </w:pPr>
    <w:rPr>
      <w:sz w:val="21"/>
      <w:szCs w:val="21"/>
      <w:lang w:val="en-US" w:eastAsia="zh-CN" w:bidi="ar-SA"/>
    </w:rPr>
  </w:style>
  <w:style w:type="paragraph" w:styleId="1147">
    <w:name w:val="xl107"/>
    <w:basedOn w:val="1044"/>
    <w:next w:val="1147"/>
    <w:link w:val="1044"/>
    <w:pPr>
      <w:jc w:val="left"/>
      <w:spacing w:before="100" w:beforeAutospacing="1" w:after="100" w:afterAutospacing="1"/>
      <w:widowControl/>
      <w:pBdr>
        <w:bottom w:val="single" w:color="000000" w:sz="4" w:space="0"/>
      </w:pBdr>
    </w:pPr>
    <w:rPr>
      <w:rFonts w:ascii="宋体" w:hAnsi="宋体" w:cs="宋体"/>
      <w:b/>
      <w:bCs/>
      <w:szCs w:val="21"/>
    </w:rPr>
  </w:style>
  <w:style w:type="paragraph" w:styleId="1148">
    <w:name w:val="xl112"/>
    <w:basedOn w:val="1044"/>
    <w:next w:val="1148"/>
    <w:link w:val="1044"/>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49">
    <w:name w:val="tc"/>
    <w:basedOn w:val="1044"/>
    <w:next w:val="1149"/>
    <w:link w:val="1044"/>
    <w:pPr>
      <w:jc w:val="center"/>
    </w:pPr>
    <w:rPr>
      <w:szCs w:val="24"/>
    </w:rPr>
  </w:style>
  <w:style w:type="paragraph" w:styleId="1150">
    <w:name w:val="xl96"/>
    <w:basedOn w:val="1044"/>
    <w:next w:val="1150"/>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51">
    <w:name w:val="xl95"/>
    <w:basedOn w:val="1044"/>
    <w:next w:val="1151"/>
    <w:link w:val="1044"/>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52">
    <w:name w:val="列出段落1"/>
    <w:basedOn w:val="1044"/>
    <w:next w:val="1152"/>
    <w:link w:val="1044"/>
    <w:uiPriority w:val="34"/>
    <w:qFormat/>
    <w:pPr>
      <w:ind w:firstLine="420"/>
      <w:spacing w:before="156" w:after="156" w:line="360" w:lineRule="auto"/>
    </w:pPr>
    <w:rPr>
      <w:rFonts w:ascii="Calibri" w:hAnsi="Calibri" w:cs="Calibri"/>
      <w:lang w:eastAsia="ar-SA"/>
    </w:rPr>
  </w:style>
  <w:style w:type="paragraph" w:styleId="1153">
    <w:name w:val="xl72"/>
    <w:basedOn w:val="1044"/>
    <w:next w:val="1153"/>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4">
    <w:name w:val="_Style 2"/>
    <w:basedOn w:val="1044"/>
    <w:next w:val="1154"/>
    <w:link w:val="1044"/>
    <w:qFormat/>
    <w:pPr>
      <w:ind w:firstLine="420"/>
    </w:pPr>
    <w:rPr>
      <w:rFonts w:ascii="Calibri" w:hAnsi="Calibri"/>
    </w:rPr>
  </w:style>
  <w:style w:type="paragraph" w:styleId="1155">
    <w:name w:val="xl81"/>
    <w:basedOn w:val="1044"/>
    <w:next w:val="1155"/>
    <w:link w:val="1044"/>
    <w:pPr>
      <w:jc w:val="left"/>
      <w:spacing w:before="100" w:beforeAutospacing="1" w:after="100" w:afterAutospacing="1"/>
      <w:widowControl/>
      <w:pBdr>
        <w:left w:val="single" w:color="000000" w:sz="4" w:space="0"/>
        <w:right w:val="single" w:color="000000" w:sz="4" w:space="0"/>
      </w:pBdr>
    </w:pPr>
    <w:rPr>
      <w:sz w:val="20"/>
      <w:szCs w:val="20"/>
    </w:rPr>
  </w:style>
  <w:style w:type="paragraph" w:styleId="1156">
    <w:name w:val="xl86"/>
    <w:basedOn w:val="1044"/>
    <w:next w:val="1156"/>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57">
    <w:name w:val="xl104"/>
    <w:basedOn w:val="1044"/>
    <w:next w:val="1157"/>
    <w:link w:val="1044"/>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58">
    <w:name w:val="程序1"/>
    <w:next w:val="1044"/>
    <w:link w:val="1044"/>
    <w:pPr>
      <w:numPr>
        <w:ilvl w:val="0"/>
        <w:numId w:val="2"/>
      </w:numPr>
      <w:ind w:left="360" w:hanging="360"/>
      <w:tabs>
        <w:tab w:val="left" w:pos="360" w:leader="none"/>
      </w:tabs>
    </w:pPr>
    <w:rPr>
      <w:b/>
      <w:bCs/>
      <w:sz w:val="24"/>
      <w:szCs w:val="24"/>
      <w:lang w:val="en-US" w:eastAsia="zh-CN" w:bidi="ar-SA"/>
    </w:rPr>
  </w:style>
  <w:style w:type="paragraph" w:styleId="1159">
    <w:name w:val="xl99"/>
    <w:basedOn w:val="1044"/>
    <w:next w:val="1159"/>
    <w:link w:val="104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160">
    <w:name w:val="font6"/>
    <w:basedOn w:val="1044"/>
    <w:next w:val="1160"/>
    <w:link w:val="1044"/>
    <w:pPr>
      <w:jc w:val="left"/>
      <w:spacing w:before="100" w:beforeAutospacing="1" w:after="100" w:afterAutospacing="1"/>
      <w:widowControl/>
    </w:pPr>
    <w:rPr>
      <w:color w:val="000000"/>
      <w:szCs w:val="21"/>
    </w:rPr>
  </w:style>
  <w:style w:type="paragraph" w:styleId="1161">
    <w:name w:val="Default"/>
    <w:next w:val="1161"/>
    <w:link w:val="1044"/>
    <w:qFormat/>
    <w:pPr>
      <w:widowControl w:val="off"/>
    </w:pPr>
    <w:rPr>
      <w:rFonts w:ascii="宋体" w:cs="宋体"/>
      <w:color w:val="000000"/>
      <w:sz w:val="24"/>
      <w:szCs w:val="24"/>
      <w:lang w:val="en-US" w:eastAsia="zh-CN" w:bidi="ar-SA"/>
    </w:rPr>
  </w:style>
  <w:style w:type="paragraph" w:styleId="1162">
    <w:name w:val="正文 New New New New New New New New New New New New New New New New New New New"/>
    <w:next w:val="1162"/>
    <w:link w:val="1044"/>
    <w:qFormat/>
    <w:pPr>
      <w:jc w:val="both"/>
      <w:widowControl w:val="off"/>
    </w:pPr>
    <w:rPr>
      <w:sz w:val="28"/>
      <w:szCs w:val="24"/>
      <w:lang w:val="en-US" w:eastAsia="zh-CN" w:bidi="ar-SA"/>
    </w:rPr>
  </w:style>
  <w:style w:type="paragraph" w:styleId="1163">
    <w:name w:val="font7"/>
    <w:basedOn w:val="1044"/>
    <w:next w:val="1163"/>
    <w:link w:val="1044"/>
    <w:pPr>
      <w:jc w:val="left"/>
      <w:spacing w:before="100" w:beforeAutospacing="1" w:after="100" w:afterAutospacing="1"/>
      <w:widowControl/>
    </w:pPr>
    <w:rPr>
      <w:b/>
      <w:bCs/>
      <w:color w:val="000000"/>
      <w:szCs w:val="21"/>
    </w:rPr>
  </w:style>
  <w:style w:type="paragraph" w:styleId="1164">
    <w:name w:val="xl76"/>
    <w:basedOn w:val="1044"/>
    <w:next w:val="1164"/>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65">
    <w:name w:val="xl93"/>
    <w:basedOn w:val="1044"/>
    <w:next w:val="1165"/>
    <w:link w:val="1044"/>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166">
    <w:name w:val="正文 A"/>
    <w:next w:val="1166"/>
    <w:link w:val="1044"/>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167">
    <w:name w:val="xl102"/>
    <w:basedOn w:val="1044"/>
    <w:next w:val="1167"/>
    <w:link w:val="104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68">
    <w:name w:val="xl110"/>
    <w:basedOn w:val="1044"/>
    <w:next w:val="1168"/>
    <w:link w:val="1044"/>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69">
    <w:name w:val="List Paragraph"/>
    <w:basedOn w:val="1044"/>
    <w:next w:val="1169"/>
    <w:link w:val="1044"/>
    <w:uiPriority w:val="34"/>
    <w:qFormat/>
    <w:pPr>
      <w:ind w:firstLine="420"/>
    </w:pPr>
    <w:rPr>
      <w:rFonts w:ascii="Calibri" w:hAnsi="Calibri"/>
    </w:rPr>
  </w:style>
  <w:style w:type="paragraph" w:styleId="1170">
    <w:name w:val="xl77"/>
    <w:basedOn w:val="1044"/>
    <w:next w:val="1170"/>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name w:val="xl111"/>
    <w:basedOn w:val="1044"/>
    <w:next w:val="1171"/>
    <w:link w:val="1044"/>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72">
    <w:name w:val="xl100"/>
    <w:basedOn w:val="1044"/>
    <w:next w:val="1172"/>
    <w:link w:val="104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73">
    <w:name w:val="font5"/>
    <w:basedOn w:val="1044"/>
    <w:next w:val="1173"/>
    <w:link w:val="1044"/>
    <w:pPr>
      <w:jc w:val="left"/>
      <w:spacing w:before="100" w:beforeAutospacing="1" w:after="100" w:afterAutospacing="1"/>
      <w:widowControl/>
    </w:pPr>
    <w:rPr>
      <w:color w:val="000000"/>
      <w:sz w:val="20"/>
      <w:szCs w:val="20"/>
    </w:rPr>
  </w:style>
  <w:style w:type="paragraph" w:styleId="1174">
    <w:name w:val="font8"/>
    <w:basedOn w:val="1044"/>
    <w:next w:val="1174"/>
    <w:link w:val="1044"/>
    <w:pPr>
      <w:jc w:val="left"/>
      <w:spacing w:before="100" w:beforeAutospacing="1" w:after="100" w:afterAutospacing="1"/>
      <w:widowControl/>
    </w:pPr>
    <w:rPr>
      <w:rFonts w:ascii="宋体" w:hAnsi="宋体" w:cs="宋体"/>
      <w:b/>
      <w:bCs/>
      <w:color w:val="000000"/>
      <w:szCs w:val="21"/>
    </w:rPr>
  </w:style>
  <w:style w:type="paragraph" w:styleId="1175">
    <w:name w:val="font14"/>
    <w:basedOn w:val="1044"/>
    <w:next w:val="1175"/>
    <w:link w:val="1044"/>
    <w:pPr>
      <w:jc w:val="left"/>
      <w:spacing w:before="100" w:beforeAutospacing="1" w:after="100" w:afterAutospacing="1"/>
      <w:widowControl/>
    </w:pPr>
    <w:rPr>
      <w:rFonts w:ascii="宋体" w:hAnsi="宋体" w:cs="宋体"/>
      <w:color w:val="000000"/>
      <w:szCs w:val="21"/>
    </w:rPr>
  </w:style>
  <w:style w:type="paragraph" w:styleId="1176">
    <w:name w:val="xl71"/>
    <w:basedOn w:val="1044"/>
    <w:next w:val="1176"/>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77">
    <w:name w:val="xl74"/>
    <w:basedOn w:val="1044"/>
    <w:next w:val="1177"/>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8">
    <w:name w:val="xl79"/>
    <w:basedOn w:val="1044"/>
    <w:next w:val="1178"/>
    <w:link w:val="1044"/>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79">
    <w:name w:val="font10"/>
    <w:basedOn w:val="1044"/>
    <w:next w:val="1179"/>
    <w:link w:val="1044"/>
    <w:pPr>
      <w:jc w:val="left"/>
      <w:spacing w:before="100" w:beforeAutospacing="1" w:after="100" w:afterAutospacing="1"/>
      <w:widowControl/>
    </w:pPr>
    <w:rPr>
      <w:rFonts w:ascii="宋体" w:hAnsi="宋体" w:cs="宋体"/>
      <w:color w:val="000000"/>
      <w:sz w:val="22"/>
    </w:rPr>
  </w:style>
  <w:style w:type="paragraph" w:styleId="1180">
    <w:name w:val="xl106"/>
    <w:basedOn w:val="1044"/>
    <w:next w:val="1180"/>
    <w:link w:val="1044"/>
    <w:pPr>
      <w:jc w:val="left"/>
      <w:spacing w:before="100" w:beforeAutospacing="1" w:after="100" w:afterAutospacing="1"/>
      <w:widowControl/>
      <w:pBdr>
        <w:top w:val="single" w:color="000000" w:sz="4" w:space="0"/>
      </w:pBdr>
    </w:pPr>
    <w:rPr>
      <w:rFonts w:ascii="宋体" w:hAnsi="宋体" w:cs="宋体"/>
      <w:b/>
      <w:bCs/>
      <w:szCs w:val="21"/>
    </w:rPr>
  </w:style>
  <w:style w:type="paragraph" w:styleId="1181">
    <w:name w:val="xl70"/>
    <w:basedOn w:val="1044"/>
    <w:next w:val="1181"/>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82">
    <w:name w:val="Char"/>
    <w:basedOn w:val="1044"/>
    <w:next w:val="1182"/>
    <w:link w:val="1044"/>
    <w:pPr>
      <w:jc w:val="left"/>
      <w:spacing w:after="160" w:line="240" w:lineRule="exact"/>
      <w:widowControl/>
    </w:pPr>
    <w:rPr>
      <w:rFonts w:ascii="Verdana" w:hAnsi="Verdana" w:eastAsia="宋体" w:cs="Verdana"/>
      <w:sz w:val="18"/>
      <w:szCs w:val="18"/>
      <w:lang w:eastAsia="en-US"/>
    </w:rPr>
  </w:style>
  <w:style w:type="paragraph" w:styleId="1183">
    <w:name w:val="xl85"/>
    <w:basedOn w:val="1044"/>
    <w:next w:val="1183"/>
    <w:link w:val="1044"/>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84">
    <w:name w:val="xl109"/>
    <w:basedOn w:val="1044"/>
    <w:next w:val="1184"/>
    <w:link w:val="1044"/>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85">
    <w:name w:val="Table Paragraph"/>
    <w:basedOn w:val="1044"/>
    <w:next w:val="1185"/>
    <w:link w:val="1044"/>
    <w:uiPriority w:val="1"/>
    <w:qFormat/>
    <w:rPr>
      <w:rFonts w:ascii="宋体" w:hAnsi="宋体" w:eastAsia="宋体" w:cs="宋体"/>
      <w:lang w:val="zh-CN" w:eastAsia="zh-CN" w:bidi="zh-CN"/>
    </w:rPr>
  </w:style>
  <w:style w:type="paragraph" w:styleId="1186">
    <w:name w:val="Char1"/>
    <w:basedOn w:val="1044"/>
    <w:next w:val="1186"/>
    <w:link w:val="1044"/>
    <w:pPr>
      <w:jc w:val="left"/>
      <w:spacing w:after="160" w:line="240" w:lineRule="exact"/>
      <w:widowControl/>
    </w:pPr>
    <w:rPr>
      <w:rFonts w:ascii="Verdana" w:hAnsi="Verdana" w:eastAsia="宋体" w:cs="Verdana"/>
      <w:sz w:val="18"/>
      <w:szCs w:val="18"/>
      <w:lang w:eastAsia="en-US"/>
    </w:rPr>
  </w:style>
  <w:style w:type="paragraph" w:styleId="1187">
    <w:name w:val="xl108"/>
    <w:basedOn w:val="1044"/>
    <w:next w:val="1187"/>
    <w:link w:val="104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font11"/>
    <w:basedOn w:val="1044"/>
    <w:next w:val="1188"/>
    <w:link w:val="1044"/>
    <w:pPr>
      <w:jc w:val="left"/>
      <w:spacing w:before="100" w:beforeAutospacing="1" w:after="100" w:afterAutospacing="1"/>
      <w:widowControl/>
    </w:pPr>
    <w:rPr>
      <w:rFonts w:ascii="宋体" w:hAnsi="宋体" w:cs="宋体"/>
      <w:color w:val="000000"/>
      <w:sz w:val="18"/>
      <w:szCs w:val="18"/>
    </w:rPr>
  </w:style>
  <w:style w:type="paragraph" w:styleId="1189">
    <w:name w:val="xl73"/>
    <w:basedOn w:val="1044"/>
    <w:next w:val="1189"/>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0">
    <w:name w:val="列出段落3"/>
    <w:basedOn w:val="1044"/>
    <w:next w:val="1190"/>
    <w:link w:val="1044"/>
    <w:uiPriority w:val="34"/>
    <w:qFormat/>
    <w:pPr>
      <w:ind w:firstLine="200"/>
      <w:spacing w:line="360" w:lineRule="auto"/>
      <w:widowControl/>
    </w:pPr>
    <w:rPr>
      <w:rFonts w:ascii="Calibri" w:hAnsi="Calibri"/>
      <w:sz w:val="24"/>
    </w:rPr>
  </w:style>
  <w:style w:type="paragraph" w:styleId="1191">
    <w:name w:val="注："/>
    <w:next w:val="1044"/>
    <w:link w:val="1044"/>
    <w:pPr>
      <w:numPr>
        <w:ilvl w:val="0"/>
        <w:numId w:val="3"/>
      </w:numPr>
      <w:jc w:val="both"/>
      <w:widowControl w:val="off"/>
      <w:tabs>
        <w:tab w:val="left" w:pos="1140" w:leader="none"/>
      </w:tabs>
    </w:pPr>
    <w:rPr>
      <w:rFonts w:ascii="宋体" w:cs="宋体"/>
      <w:sz w:val="18"/>
      <w:szCs w:val="18"/>
      <w:lang w:val="en-US" w:eastAsia="zh-CN" w:bidi="ar-SA"/>
    </w:rPr>
  </w:style>
  <w:style w:type="paragraph" w:styleId="1192">
    <w:name w:val=" Char1"/>
    <w:basedOn w:val="1044"/>
    <w:next w:val="1192"/>
    <w:link w:val="1044"/>
    <w:rPr>
      <w:rFonts w:ascii="仿宋_GB2312" w:eastAsia="仿宋_GB2312"/>
      <w:b/>
      <w:sz w:val="32"/>
      <w:szCs w:val="32"/>
    </w:rPr>
  </w:style>
  <w:style w:type="paragraph" w:styleId="1193">
    <w:name w:val="xl90"/>
    <w:basedOn w:val="1044"/>
    <w:next w:val="1193"/>
    <w:link w:val="10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94">
    <w:name w:val="程序1.1.1"/>
    <w:next w:val="1194"/>
    <w:link w:val="1044"/>
    <w:pPr>
      <w:numPr>
        <w:ilvl w:val="1"/>
        <w:numId w:val="2"/>
      </w:numPr>
      <w:tabs>
        <w:tab w:val="left" w:pos="360" w:leader="none"/>
        <w:tab w:val="left" w:pos="525" w:leader="none"/>
      </w:tabs>
    </w:pPr>
    <w:rPr>
      <w:sz w:val="21"/>
      <w:szCs w:val="21"/>
      <w:lang w:val="en-US" w:eastAsia="zh-CN" w:bidi="ar-SA"/>
    </w:rPr>
  </w:style>
  <w:style w:type="paragraph" w:styleId="1195">
    <w:name w:val="正文宋体4"/>
    <w:basedOn w:val="1044"/>
    <w:next w:val="1195"/>
    <w:link w:val="1044"/>
    <w:pPr>
      <w:ind w:firstLine="359"/>
      <w:tabs>
        <w:tab w:val="left" w:pos="0" w:leader="none"/>
      </w:tabs>
    </w:pPr>
    <w:rPr>
      <w:rFonts w:ascii="仿宋_GB2312" w:eastAsia="仿宋_GB2312"/>
      <w:b/>
      <w:color w:val="000000"/>
      <w:sz w:val="24"/>
      <w:szCs w:val="24"/>
    </w:rPr>
  </w:style>
  <w:style w:type="paragraph" w:styleId="1196">
    <w:name w:val="xl88"/>
    <w:basedOn w:val="1044"/>
    <w:next w:val="1196"/>
    <w:link w:val="1044"/>
    <w:pPr>
      <w:jc w:val="left"/>
      <w:spacing w:before="100" w:beforeAutospacing="1" w:after="100" w:afterAutospacing="1"/>
      <w:widowControl/>
      <w:pBdr>
        <w:top w:val="single" w:color="000000" w:sz="4" w:space="0"/>
        <w:bottom w:val="single" w:color="000000" w:sz="4" w:space="0"/>
      </w:pBdr>
    </w:pPr>
    <w:rPr>
      <w:b/>
      <w:bCs/>
      <w:szCs w:val="21"/>
    </w:rPr>
  </w:style>
  <w:style w:type="paragraph" w:styleId="1197">
    <w:name w:val="xl67"/>
    <w:basedOn w:val="1044"/>
    <w:next w:val="1197"/>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98">
    <w:name w:val="xl78"/>
    <w:basedOn w:val="1044"/>
    <w:next w:val="1198"/>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9">
    <w:name w:val="xl91"/>
    <w:basedOn w:val="1044"/>
    <w:next w:val="1199"/>
    <w:link w:val="1044"/>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00">
    <w:name w:val="标准称谓"/>
    <w:next w:val="1044"/>
    <w:link w:val="1044"/>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01">
    <w:name w:val="xl98"/>
    <w:basedOn w:val="1044"/>
    <w:next w:val="1201"/>
    <w:link w:val="1044"/>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02">
    <w:name w:val="reader-word-layer"/>
    <w:basedOn w:val="1044"/>
    <w:next w:val="1202"/>
    <w:link w:val="1044"/>
    <w:pPr>
      <w:jc w:val="left"/>
      <w:spacing w:before="100" w:beforeAutospacing="1" w:after="100" w:afterAutospacing="1"/>
      <w:widowControl/>
    </w:pPr>
    <w:rPr>
      <w:rFonts w:ascii="宋体" w:hAnsi="宋体" w:cs="宋体"/>
      <w:sz w:val="24"/>
      <w:szCs w:val="24"/>
    </w:rPr>
  </w:style>
  <w:style w:type="paragraph" w:styleId="1203">
    <w:name w:val="Standard"/>
    <w:next w:val="1203"/>
    <w:link w:val="1044"/>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04">
    <w:name w:val="xl68"/>
    <w:basedOn w:val="1044"/>
    <w:next w:val="1204"/>
    <w:link w:val="104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5">
    <w:name w:val="xl105"/>
    <w:basedOn w:val="1044"/>
    <w:next w:val="1205"/>
    <w:link w:val="1044"/>
    <w:pPr>
      <w:jc w:val="left"/>
      <w:spacing w:before="100" w:beforeAutospacing="1" w:after="100" w:afterAutospacing="1"/>
      <w:widowControl/>
    </w:pPr>
    <w:rPr>
      <w:rFonts w:ascii="宋体" w:hAnsi="宋体" w:cs="宋体"/>
      <w:sz w:val="20"/>
      <w:szCs w:val="20"/>
    </w:rPr>
  </w:style>
  <w:style w:type="paragraph" w:styleId="1206">
    <w:name w:val="xl66"/>
    <w:basedOn w:val="1044"/>
    <w:next w:val="1206"/>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7">
    <w:name w:val="xl82"/>
    <w:basedOn w:val="1044"/>
    <w:next w:val="1207"/>
    <w:link w:val="104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08">
    <w:name w:val="xl84"/>
    <w:basedOn w:val="1044"/>
    <w:next w:val="1208"/>
    <w:link w:val="10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09">
    <w:name w:val="xl65"/>
    <w:basedOn w:val="1044"/>
    <w:next w:val="1209"/>
    <w:link w:val="10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10">
    <w:name w:val="xl80"/>
    <w:basedOn w:val="1044"/>
    <w:next w:val="1210"/>
    <w:link w:val="1044"/>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11">
    <w:name w:val="xl94"/>
    <w:basedOn w:val="1044"/>
    <w:next w:val="1211"/>
    <w:link w:val="1044"/>
    <w:pPr>
      <w:jc w:val="center"/>
      <w:spacing w:before="100" w:beforeAutospacing="1" w:after="100" w:afterAutospacing="1"/>
      <w:widowControl/>
      <w:pBdr>
        <w:left w:val="single" w:color="000000" w:sz="4" w:space="0"/>
        <w:right w:val="single" w:color="000000" w:sz="4" w:space="0"/>
      </w:pBdr>
    </w:pPr>
    <w:rPr>
      <w:szCs w:val="21"/>
    </w:rPr>
  </w:style>
  <w:style w:type="paragraph" w:styleId="1212">
    <w:name w:val="font13"/>
    <w:basedOn w:val="1044"/>
    <w:next w:val="1212"/>
    <w:link w:val="1044"/>
    <w:pPr>
      <w:jc w:val="left"/>
      <w:spacing w:before="100" w:beforeAutospacing="1" w:after="100" w:afterAutospacing="1"/>
      <w:widowControl/>
    </w:pPr>
    <w:rPr>
      <w:rFonts w:ascii="宋体" w:hAnsi="宋体" w:cs="宋体"/>
      <w:sz w:val="18"/>
      <w:szCs w:val="18"/>
    </w:rPr>
  </w:style>
  <w:style w:type="paragraph" w:styleId="1213">
    <w:name w:val="程序1.1"/>
    <w:next w:val="1213"/>
    <w:link w:val="1044"/>
    <w:pPr>
      <w:numPr>
        <w:ilvl w:val="1"/>
        <w:numId w:val="1"/>
      </w:numPr>
      <w:tabs>
        <w:tab w:val="left" w:pos="359" w:leader="none"/>
        <w:tab w:val="left" w:pos="990" w:leader="none"/>
      </w:tabs>
    </w:pPr>
    <w:rPr>
      <w:sz w:val="21"/>
      <w:szCs w:val="21"/>
      <w:lang w:val="en-US" w:eastAsia="zh-CN" w:bidi="ar-SA"/>
    </w:rPr>
  </w:style>
  <w:style w:type="paragraph" w:styleId="1214">
    <w:name w:val="xl83"/>
    <w:basedOn w:val="1044"/>
    <w:next w:val="1214"/>
    <w:link w:val="1044"/>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15">
    <w:name w:val="xl69"/>
    <w:basedOn w:val="1044"/>
    <w:next w:val="1215"/>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16">
    <w:name w:val="批注文字 Char1"/>
    <w:next w:val="1216"/>
    <w:link w:val="1044"/>
    <w:qFormat/>
    <w:rPr>
      <w:rFonts w:ascii="宋体" w:hAnsi="宋体"/>
      <w:color w:val="000000"/>
      <w:szCs w:val="21"/>
    </w:rPr>
  </w:style>
  <w:style w:type="character" w:styleId="1217">
    <w:name w:val="NormalCharacter1"/>
    <w:next w:val="1217"/>
    <w:link w:val="1044"/>
    <w:qFormat/>
    <w:rPr>
      <w:rFonts w:ascii="Times New Roman" w:hAnsi="Times New Roman" w:eastAsia="宋体" w:cs="Times New Roman"/>
      <w:sz w:val="21"/>
      <w:szCs w:val="24"/>
      <w:lang w:val="en-US" w:eastAsia="zh-CN" w:bidi="ar-SA"/>
    </w:rPr>
  </w:style>
  <w:style w:type="character" w:styleId="1218">
    <w:name w:val="font21"/>
    <w:next w:val="1218"/>
    <w:link w:val="1044"/>
    <w:rPr>
      <w:rFonts w:hint="eastAsia" w:ascii="宋体" w:hAnsi="宋体" w:eastAsia="宋体" w:cs="宋体"/>
      <w:i w:val="0"/>
      <w:iCs w:val="0"/>
      <w:color w:val="ff0000"/>
      <w:sz w:val="24"/>
      <w:szCs w:val="24"/>
      <w:u w:val="none"/>
    </w:rPr>
  </w:style>
  <w:style w:type="character" w:styleId="1219">
    <w:name w:val="font41"/>
    <w:next w:val="1219"/>
    <w:link w:val="1044"/>
    <w:rPr>
      <w:rFonts w:ascii="微软雅黑" w:hAnsi="微软雅黑" w:eastAsia="微软雅黑" w:cs="微软雅黑"/>
      <w:i w:val="0"/>
      <w:iCs w:val="0"/>
      <w:color w:val="000000"/>
      <w:sz w:val="24"/>
      <w:szCs w:val="24"/>
      <w:u w:val="none"/>
    </w:rPr>
  </w:style>
  <w:style w:type="character" w:styleId="1220">
    <w:name w:val="rvts12"/>
    <w:next w:val="1220"/>
    <w:link w:val="1044"/>
    <w:qFormat/>
    <w:rPr>
      <w:rFonts w:ascii="KNLe" w:hAnsi="KNLe"/>
      <w:b/>
      <w:bCs/>
      <w:sz w:val="28"/>
      <w:szCs w:val="28"/>
    </w:rPr>
  </w:style>
  <w:style w:type="character" w:styleId="1221">
    <w:name w:val="rvts10"/>
    <w:next w:val="1221"/>
    <w:link w:val="1044"/>
    <w:qFormat/>
    <w:rPr>
      <w:rFonts w:ascii="KNLe" w:hAnsi="KNLe"/>
    </w:rPr>
  </w:style>
  <w:style w:type="character" w:styleId="1222">
    <w:name w:val="rvts13"/>
    <w:next w:val="1222"/>
    <w:link w:val="1044"/>
    <w:qFormat/>
    <w:rPr>
      <w:rFonts w:ascii="KNLe" w:hAnsi="KNLe"/>
      <w:color w:val="000000"/>
    </w:rPr>
  </w:style>
  <w:style w:type="character" w:styleId="1223">
    <w:name w:val="rvts15"/>
    <w:next w:val="1223"/>
    <w:link w:val="1044"/>
    <w:qFormat/>
    <w:rPr>
      <w:rFonts w:ascii="KNLe" w:hAnsi="KNLe"/>
      <w:color w:val="0000ff"/>
      <w:u w:val="single"/>
    </w:rPr>
  </w:style>
  <w:style w:type="character" w:styleId="1224">
    <w:name w:val="rvts11"/>
    <w:next w:val="1224"/>
    <w:link w:val="1044"/>
    <w:qFormat/>
    <w:rPr>
      <w:rFonts w:ascii="Times New Roman" w:hAnsi="Times New Roman" w:cs="Times New Roman"/>
    </w:rPr>
  </w:style>
  <w:style w:type="paragraph" w:styleId="1225">
    <w:name w:val="Heading31"/>
    <w:basedOn w:val="1044"/>
    <w:next w:val="1044"/>
    <w:link w:val="1044"/>
    <w:qFormat/>
    <w:pPr>
      <w:keepLines/>
      <w:keepNext/>
      <w:spacing w:before="260" w:after="260" w:line="416" w:lineRule="auto"/>
    </w:pPr>
    <w:rPr>
      <w:b/>
      <w:bCs/>
      <w:sz w:val="32"/>
      <w:szCs w:val="32"/>
    </w:rPr>
  </w:style>
  <w:style w:type="paragraph" w:styleId="1226">
    <w:name w:val="样式1"/>
    <w:basedOn w:val="1044"/>
    <w:next w:val="1090"/>
    <w:link w:val="1044"/>
    <w:qFormat/>
    <w:pPr>
      <w:jc w:val="center"/>
      <w:keepLines/>
      <w:keepNext/>
      <w:spacing w:line="1200" w:lineRule="auto"/>
      <w:outlineLvl w:val="0"/>
    </w:pPr>
    <w:rPr>
      <w:b/>
      <w:sz w:val="52"/>
    </w:rPr>
  </w:style>
  <w:style w:type="paragraph" w:styleId="1227">
    <w:name w:val="样式2"/>
    <w:basedOn w:val="1046"/>
    <w:next w:val="1227"/>
    <w:link w:val="1044"/>
    <w:pPr>
      <w:jc w:val="left"/>
      <w:spacing w:line="960" w:lineRule="auto"/>
      <w:tabs>
        <w:tab w:val="left" w:pos="567" w:leader="none"/>
        <w:tab w:val="left" w:pos="850" w:leader="none"/>
      </w:tabs>
    </w:pPr>
    <w:rPr>
      <w:b/>
      <w:sz w:val="36"/>
    </w:rPr>
  </w:style>
  <w:style w:type="paragraph" w:styleId="1228">
    <w:name w:val="表头"/>
    <w:basedOn w:val="1044"/>
    <w:next w:val="1228"/>
    <w:link w:val="1044"/>
    <w:pPr>
      <w:jc w:val="center"/>
      <w:spacing w:before="160" w:beforeAutospacing="0" w:after="60" w:afterAutospacing="0" w:line="312" w:lineRule="exact"/>
    </w:pPr>
    <w:rPr>
      <w:rFonts w:ascii="EU-F1" w:eastAsia="黑体"/>
      <w:sz w:val="20"/>
    </w:rPr>
  </w:style>
  <w:style w:type="paragraph" w:styleId="1229">
    <w:name w:val="图片"/>
    <w:basedOn w:val="1044"/>
    <w:next w:val="1229"/>
    <w:link w:val="1044"/>
    <w:qFormat/>
    <w:pPr>
      <w:jc w:val="center"/>
      <w:spacing w:before="160" w:after="60"/>
    </w:pPr>
    <w:rPr>
      <w:sz w:val="20"/>
      <w:szCs w:val="21"/>
    </w:rPr>
  </w:style>
  <w:style w:type="paragraph" w:styleId="1230">
    <w:name w:val="图说"/>
    <w:basedOn w:val="1044"/>
    <w:next w:val="1230"/>
    <w:link w:val="1044"/>
    <w:qFormat/>
    <w:pPr>
      <w:jc w:val="center"/>
      <w:spacing w:before="60" w:after="160" w:line="312" w:lineRule="exact"/>
    </w:pPr>
    <w:rPr>
      <w:rFonts w:ascii="EU-F1" w:eastAsia="黑体"/>
      <w:sz w:val="20"/>
      <w:szCs w:val="21"/>
    </w:rPr>
  </w:style>
  <w:style w:type="paragraph" w:styleId="1231">
    <w:name w:val="批注框文本1"/>
    <w:basedOn w:val="1044"/>
    <w:next w:val="1231"/>
    <w:link w:val="1044"/>
    <w:qFormat/>
    <w:rPr>
      <w:sz w:val="18"/>
      <w:szCs w:val="20"/>
    </w:rPr>
  </w:style>
  <w:style w:type="paragraph" w:styleId="1232">
    <w:name w:val="正文表标题"/>
    <w:next w:val="1144"/>
    <w:link w:val="1044"/>
    <w:qFormat/>
    <w:pPr>
      <w:jc w:val="center"/>
      <w:tabs>
        <w:tab w:val="left" w:pos="360" w:leader="none"/>
      </w:tabs>
    </w:pPr>
    <w:rPr>
      <w:rFonts w:ascii="黑体" w:eastAsia="黑体"/>
      <w:lang w:val="en-US" w:eastAsia="zh-CN" w:bidi="ar-SA"/>
    </w:rPr>
  </w:style>
  <w:style w:type="paragraph" w:styleId="1233">
    <w:name w:val="注×："/>
    <w:next w:val="1233"/>
    <w:link w:val="1044"/>
    <w:qFormat/>
    <w:pPr>
      <w:ind w:left="900" w:hanging="500"/>
      <w:jc w:val="both"/>
      <w:spacing w:line="360" w:lineRule="atLeast"/>
      <w:widowControl w:val="off"/>
      <w:tabs>
        <w:tab w:val="left" w:pos="630" w:leader="none"/>
      </w:tabs>
    </w:pPr>
    <w:rPr>
      <w:rFonts w:ascii="宋体"/>
      <w:sz w:val="18"/>
      <w:lang w:val="en-US" w:eastAsia="zh-CN" w:bidi="ar-SA"/>
    </w:rPr>
  </w:style>
  <w:style w:type="paragraph" w:styleId="1234">
    <w:name w:val="三级无"/>
    <w:basedOn w:val="1141"/>
    <w:next w:val="1234"/>
    <w:link w:val="1044"/>
    <w:qFormat/>
    <w:pPr>
      <w:tabs>
        <w:tab w:val="left" w:pos="360" w:leader="none"/>
        <w:tab w:val="left" w:pos="1440" w:leader="none"/>
        <w:tab w:val="left" w:pos="2880" w:leader="none"/>
      </w:tabs>
    </w:pPr>
    <w:rPr>
      <w:rFonts w:ascii="宋体" w:eastAsia="宋体"/>
    </w:rPr>
  </w:style>
  <w:style w:type="character" w:styleId="1235">
    <w:name w:val="active"/>
    <w:basedOn w:val="1050"/>
    <w:next w:val="1235"/>
    <w:link w:val="1044"/>
    <w:rPr>
      <w:color w:val="ffffff"/>
      <w:shd w:val="clear" w:color="auto" w:fill="0f5bb9"/>
    </w:rPr>
  </w:style>
  <w:style w:type="character" w:styleId="1236" w:default="1">
    <w:name w:val="Default Paragraph Font"/>
    <w:uiPriority w:val="1"/>
    <w:semiHidden/>
    <w:unhideWhenUsed/>
  </w:style>
  <w:style w:type="numbering" w:styleId="1237" w:default="1">
    <w:name w:val="No List"/>
    <w:uiPriority w:val="99"/>
    <w:semiHidden/>
    <w:unhideWhenUsed/>
  </w:style>
  <w:style w:type="table" w:styleId="12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wmf"/><Relationship Id="rId22" Type="http://schemas.openxmlformats.org/officeDocument/2006/relationships/image" Target="media/image7.wmf"/><Relationship Id="rId23" Type="http://schemas.openxmlformats.org/officeDocument/2006/relationships/image" Target="media/image8.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李娆</cp:lastModifiedBy>
  <cp:revision>4</cp:revision>
  <dcterms:created xsi:type="dcterms:W3CDTF">2022-11-30T08:52:00Z</dcterms:created>
  <dcterms:modified xsi:type="dcterms:W3CDTF">2026-03-25T07:13:21Z</dcterms:modified>
</cp:coreProperties>
</file>